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7B" w:rsidRDefault="003F3C7B" w:rsidP="00DE5CC0">
      <w:pPr>
        <w:ind w:firstLine="567"/>
        <w:jc w:val="center"/>
        <w:rPr>
          <w:b/>
          <w:lang w:val="en-US"/>
        </w:rPr>
      </w:pPr>
      <w:bookmarkStart w:id="0" w:name="_GoBack"/>
      <w:bookmarkEnd w:id="0"/>
    </w:p>
    <w:p w:rsidR="00B033DA" w:rsidRDefault="00B033DA" w:rsidP="00DE5CC0">
      <w:pPr>
        <w:ind w:firstLine="567"/>
        <w:jc w:val="center"/>
        <w:rPr>
          <w:b/>
        </w:rPr>
      </w:pPr>
      <w:r>
        <w:rPr>
          <w:b/>
        </w:rPr>
        <w:t>До уваги платників</w:t>
      </w:r>
    </w:p>
    <w:p w:rsidR="00B033DA" w:rsidRDefault="00B033DA" w:rsidP="00DE5CC0">
      <w:pPr>
        <w:ind w:firstLine="567"/>
        <w:jc w:val="center"/>
        <w:rPr>
          <w:b/>
        </w:rPr>
      </w:pPr>
      <w:r>
        <w:rPr>
          <w:b/>
        </w:rPr>
        <w:t xml:space="preserve">ЄДИНОГО ПОДАТКУ ЧЕТВЕРТОЇ ГРУПИ </w:t>
      </w:r>
    </w:p>
    <w:p w:rsidR="00B033DA" w:rsidRDefault="00B033DA" w:rsidP="00DE5CC0">
      <w:pPr>
        <w:ind w:firstLine="567"/>
        <w:jc w:val="center"/>
        <w:rPr>
          <w:b/>
        </w:rPr>
      </w:pPr>
      <w:r>
        <w:rPr>
          <w:b/>
        </w:rPr>
        <w:t>(юридичні особи)!</w:t>
      </w:r>
    </w:p>
    <w:p w:rsidR="00B033DA" w:rsidRDefault="00B033DA" w:rsidP="00DE5CC0">
      <w:pPr>
        <w:ind w:firstLine="567"/>
        <w:jc w:val="center"/>
        <w:rPr>
          <w:b/>
        </w:rPr>
      </w:pPr>
    </w:p>
    <w:p w:rsidR="00B033DA" w:rsidRPr="00D16FAE" w:rsidRDefault="00B033DA" w:rsidP="00EE36C7">
      <w:pPr>
        <w:ind w:firstLine="567"/>
      </w:pPr>
      <w:r w:rsidRPr="00D16FAE">
        <w:t>0</w:t>
      </w:r>
      <w:r>
        <w:t>6</w:t>
      </w:r>
      <w:r w:rsidRPr="00D16FAE">
        <w:t xml:space="preserve"> травня 2023 року </w:t>
      </w:r>
      <w:r>
        <w:t xml:space="preserve">набув чинності </w:t>
      </w:r>
      <w:r w:rsidRPr="00DE5CC0">
        <w:rPr>
          <w:b/>
        </w:rPr>
        <w:t>Закон України від 11 квітня 2023 року № 3050-ІХ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w:t>
      </w:r>
      <w:r>
        <w:rPr>
          <w:b/>
        </w:rPr>
        <w:t xml:space="preserve"> </w:t>
      </w:r>
      <w:r w:rsidRPr="00D16FAE">
        <w:t>(далі – Закон №</w:t>
      </w:r>
      <w:r>
        <w:t> </w:t>
      </w:r>
      <w:r w:rsidRPr="00D16FAE">
        <w:t xml:space="preserve">3050). </w:t>
      </w:r>
    </w:p>
    <w:p w:rsidR="00B033DA" w:rsidRPr="00334C32" w:rsidRDefault="00B033DA" w:rsidP="00334C32">
      <w:pPr>
        <w:ind w:firstLine="567"/>
      </w:pPr>
      <w:r w:rsidRPr="00D16FAE">
        <w:t xml:space="preserve">Законом </w:t>
      </w:r>
      <w:r>
        <w:t>змінено</w:t>
      </w:r>
      <w:r w:rsidRPr="00D16FAE">
        <w:t xml:space="preserve"> механізм визначення переліку територій, на яких ведуться (велися) бойов</w:t>
      </w:r>
      <w:r>
        <w:t>і дії або тимчасово окупованих російською ф</w:t>
      </w:r>
      <w:r w:rsidRPr="00D16FAE">
        <w:t xml:space="preserve">едерацією (далі – Перелік територій). Згідно з Законом </w:t>
      </w:r>
      <w:r w:rsidRPr="00F525E2">
        <w:rPr>
          <w:b/>
        </w:rPr>
        <w:t xml:space="preserve">Перелік територій визначається у встановленому Кабінетом Міністрів України </w:t>
      </w:r>
      <w:r w:rsidRPr="00540E48">
        <w:rPr>
          <w:b/>
        </w:rPr>
        <w:t>порядку</w:t>
      </w:r>
      <w:r w:rsidRPr="00540E48">
        <w:t xml:space="preserve"> (п</w:t>
      </w:r>
      <w:r w:rsidRPr="00540E48">
        <w:rPr>
          <w:szCs w:val="28"/>
        </w:rPr>
        <w:t>. 292</w:t>
      </w:r>
      <w:r w:rsidRPr="00540E48">
        <w:rPr>
          <w:szCs w:val="28"/>
          <w:vertAlign w:val="superscript"/>
        </w:rPr>
        <w:t>1</w:t>
      </w:r>
      <w:r w:rsidRPr="00540E48">
        <w:rPr>
          <w:szCs w:val="28"/>
        </w:rPr>
        <w:t>.1 ст. 292</w:t>
      </w:r>
      <w:r w:rsidRPr="00540E48">
        <w:rPr>
          <w:szCs w:val="28"/>
          <w:vertAlign w:val="superscript"/>
        </w:rPr>
        <w:t>1</w:t>
      </w:r>
      <w:r w:rsidRPr="00540E48">
        <w:t>, п. 10</w:t>
      </w:r>
      <w:r>
        <w:t xml:space="preserve"> підрозд. 8 та </w:t>
      </w:r>
      <w:r w:rsidRPr="00D16FAE">
        <w:t>п</w:t>
      </w:r>
      <w:r>
        <w:t>.п. 69.33 п. 69 підрозд. 10 розд.</w:t>
      </w:r>
      <w:r w:rsidRPr="00D16FAE">
        <w:t xml:space="preserve"> ХХ «Перехідні положення»</w:t>
      </w:r>
      <w:r>
        <w:t xml:space="preserve"> Податкового кодексу України (далі – </w:t>
      </w:r>
      <w:r w:rsidRPr="00D16FAE">
        <w:t>Кодекс</w:t>
      </w:r>
      <w:r>
        <w:t>)</w:t>
      </w:r>
      <w:r w:rsidRPr="00D16FAE">
        <w:t>).</w:t>
      </w:r>
    </w:p>
    <w:p w:rsidR="00B033DA" w:rsidRPr="00D16FAE" w:rsidRDefault="00B033DA" w:rsidP="00EE36C7">
      <w:pPr>
        <w:ind w:firstLine="567"/>
      </w:pPr>
      <w:r w:rsidRPr="00F525E2">
        <w:rPr>
          <w:b/>
        </w:rPr>
        <w:t>Постанова Кабінету Міністрів України від 06 грудня 202</w:t>
      </w:r>
      <w:r>
        <w:rPr>
          <w:b/>
        </w:rPr>
        <w:t>2</w:t>
      </w:r>
      <w:r w:rsidRPr="00F525E2">
        <w:rPr>
          <w:b/>
        </w:rPr>
        <w:t xml:space="preserve"> року №</w:t>
      </w:r>
      <w:r>
        <w:rPr>
          <w:b/>
        </w:rPr>
        <w:t> </w:t>
      </w:r>
      <w:r w:rsidRPr="00F525E2">
        <w:rPr>
          <w:b/>
        </w:rPr>
        <w:t>1364</w:t>
      </w:r>
      <w:r>
        <w:rPr>
          <w:b/>
        </w:rPr>
        <w:t xml:space="preserve"> </w:t>
      </w:r>
      <w:r w:rsidRPr="00D16FAE">
        <w:t>(далі – постанова №</w:t>
      </w:r>
      <w:r>
        <w:t> </w:t>
      </w:r>
      <w:r w:rsidRPr="00D16FAE">
        <w:t xml:space="preserve">1364) </w:t>
      </w:r>
      <w:r w:rsidRPr="00F525E2">
        <w:rPr>
          <w:b/>
        </w:rPr>
        <w:t>визначає деякі питання формування переліку територій</w:t>
      </w:r>
      <w:r w:rsidRPr="00D16FAE">
        <w:t>, на яких ведуться (велися) бойов</w:t>
      </w:r>
      <w:r>
        <w:t>і дії або тимчасово окупованих російською ф</w:t>
      </w:r>
      <w:r w:rsidRPr="00D16FAE">
        <w:t>едерацією. Зокрема, пунктом 1 постанови №</w:t>
      </w:r>
      <w:r>
        <w:t> </w:t>
      </w:r>
      <w:r w:rsidRPr="00D16FAE">
        <w:t>1364</w:t>
      </w:r>
      <w:r>
        <w:t xml:space="preserve"> </w:t>
      </w:r>
      <w:r w:rsidRPr="00D16FAE">
        <w:t>визначається орган виконавчої влади (Міністерство з питань реінтеграції тимчасово окупованих територій), якому делегуються повноваження щодо затвердження переліку територій, а також  визначаються складові переліку територій, вимоги до формату територій, за якими ці території відображаються у переліку, та затверджена форма переліку територій.</w:t>
      </w:r>
    </w:p>
    <w:p w:rsidR="00B033DA" w:rsidRPr="00D16FAE" w:rsidRDefault="00B033DA" w:rsidP="00EE36C7">
      <w:pPr>
        <w:ind w:firstLine="567"/>
      </w:pPr>
      <w:r w:rsidRPr="00D16FAE">
        <w:t xml:space="preserve">Враховуючи зазначене, у контексті Закону № 3050 </w:t>
      </w:r>
      <w:r w:rsidRPr="00F525E2">
        <w:rPr>
          <w:b/>
        </w:rPr>
        <w:t>постанова №</w:t>
      </w:r>
      <w:r>
        <w:rPr>
          <w:b/>
        </w:rPr>
        <w:t> </w:t>
      </w:r>
      <w:r w:rsidRPr="00F525E2">
        <w:rPr>
          <w:b/>
        </w:rPr>
        <w:t>1364 може вважатися такою, що встановила порядок визначення переліку територій</w:t>
      </w:r>
      <w:r w:rsidRPr="00D16FAE">
        <w:t>.</w:t>
      </w:r>
    </w:p>
    <w:p w:rsidR="00B033DA" w:rsidRPr="00F525E2" w:rsidRDefault="00B033DA" w:rsidP="00EE36C7">
      <w:pPr>
        <w:ind w:firstLine="567"/>
        <w:rPr>
          <w:b/>
        </w:rPr>
      </w:pPr>
      <w:r w:rsidRPr="00D16FAE">
        <w:t xml:space="preserve">У зв’язку з цим </w:t>
      </w:r>
      <w:r w:rsidRPr="00F525E2">
        <w:rPr>
          <w:b/>
          <w:bCs/>
          <w:szCs w:val="28"/>
        </w:rPr>
        <w:t>Перелік територій, затверджений наказом Міністерства з питань реінтеграції</w:t>
      </w:r>
      <w:r w:rsidRPr="00D16FAE">
        <w:rPr>
          <w:bCs/>
          <w:szCs w:val="28"/>
        </w:rPr>
        <w:t xml:space="preserve"> тимчасово окупованих територій України від </w:t>
      </w:r>
      <w:r w:rsidR="00F2115B">
        <w:rPr>
          <w:bCs/>
          <w:szCs w:val="28"/>
        </w:rPr>
        <w:t>22.12.2022 № 309, зареєстрований</w:t>
      </w:r>
      <w:r w:rsidRPr="00D16FAE">
        <w:rPr>
          <w:bCs/>
          <w:szCs w:val="28"/>
        </w:rPr>
        <w:t xml:space="preserve"> в Міністерстві юстиції України 23.12.2022 за № 1668/39004 (далі – наказ №</w:t>
      </w:r>
      <w:r>
        <w:rPr>
          <w:bCs/>
          <w:szCs w:val="28"/>
        </w:rPr>
        <w:t> </w:t>
      </w:r>
      <w:r w:rsidRPr="00D16FAE">
        <w:rPr>
          <w:bCs/>
          <w:szCs w:val="28"/>
        </w:rPr>
        <w:t xml:space="preserve">309), </w:t>
      </w:r>
      <w:r w:rsidRPr="00F525E2">
        <w:rPr>
          <w:b/>
          <w:bCs/>
          <w:szCs w:val="28"/>
        </w:rPr>
        <w:t xml:space="preserve">може застосовуватися при справлянні </w:t>
      </w:r>
      <w:r w:rsidR="00D6310F" w:rsidRPr="004C0EF5">
        <w:rPr>
          <w:b/>
          <w:bCs/>
          <w:szCs w:val="28"/>
        </w:rPr>
        <w:t xml:space="preserve">єдиного податку четвертої групи </w:t>
      </w:r>
      <w:r w:rsidRPr="00825B4F">
        <w:rPr>
          <w:b/>
          <w:bCs/>
          <w:szCs w:val="28"/>
        </w:rPr>
        <w:t>н</w:t>
      </w:r>
      <w:r w:rsidRPr="00F525E2">
        <w:rPr>
          <w:b/>
          <w:bCs/>
          <w:szCs w:val="28"/>
        </w:rPr>
        <w:t>а відповідних територіях.</w:t>
      </w:r>
    </w:p>
    <w:p w:rsidR="00B033DA" w:rsidRDefault="00B033DA" w:rsidP="00EE36C7">
      <w:pPr>
        <w:ind w:firstLine="567"/>
      </w:pPr>
      <w:r w:rsidRPr="00D16FAE">
        <w:t xml:space="preserve">Закон </w:t>
      </w:r>
      <w:r>
        <w:t xml:space="preserve">№ 3050 </w:t>
      </w:r>
      <w:r w:rsidRPr="00D16FAE">
        <w:t>врегулював питання встановлення місцевих податків та/або зборів та/або надання податкових пільг із сплати місцевих податків та/або зборів на територіях, де тимчасово не здійснюють свої повноваження органи місцевого самоврядування. На таких територія</w:t>
      </w:r>
      <w:r>
        <w:t xml:space="preserve">х </w:t>
      </w:r>
      <w:r w:rsidRPr="00E66BC6">
        <w:rPr>
          <w:b/>
        </w:rPr>
        <w:t>рішення мають право приймати відповідні військові адміністрації та військово-цивільні адміністрації</w:t>
      </w:r>
      <w:r w:rsidRPr="00D16FAE">
        <w:t xml:space="preserve"> (зміни до п. 12.3 ст.12 Кодексу). </w:t>
      </w:r>
    </w:p>
    <w:p w:rsidR="002D2AF6" w:rsidRDefault="002D2AF6" w:rsidP="00EA4F19">
      <w:pPr>
        <w:shd w:val="clear" w:color="auto" w:fill="FFFFFF"/>
        <w:spacing w:line="235" w:lineRule="auto"/>
        <w:ind w:firstLine="567"/>
      </w:pPr>
    </w:p>
    <w:p w:rsidR="00B033DA" w:rsidRDefault="00B033DA" w:rsidP="00EA4F19">
      <w:pPr>
        <w:shd w:val="clear" w:color="auto" w:fill="FFFFFF"/>
        <w:spacing w:line="235" w:lineRule="auto"/>
        <w:ind w:firstLine="567"/>
        <w:rPr>
          <w:szCs w:val="28"/>
        </w:rPr>
      </w:pPr>
      <w:r w:rsidRPr="00E95596">
        <w:t xml:space="preserve">Відповідно до п.п. </w:t>
      </w:r>
      <w:r>
        <w:t>69.33</w:t>
      </w:r>
      <w:r w:rsidRPr="0009026E">
        <w:t xml:space="preserve"> п. 6</w:t>
      </w:r>
      <w:r>
        <w:t>9 пі</w:t>
      </w:r>
      <w:r w:rsidRPr="0009026E">
        <w:t>дрозд.</w:t>
      </w:r>
      <w:r>
        <w:rPr>
          <w:lang w:val="ru-RU"/>
        </w:rPr>
        <w:t xml:space="preserve"> 10 розд. ХХ «Перехідні положення» Кодексу</w:t>
      </w:r>
      <w:r w:rsidRPr="00E95596">
        <w:t xml:space="preserve"> </w:t>
      </w:r>
      <w:r w:rsidRPr="00E95596">
        <w:rPr>
          <w:b/>
          <w:szCs w:val="28"/>
        </w:rPr>
        <w:t>не нараховується та не сплачується єдиний податок четвертої групи</w:t>
      </w:r>
      <w:r w:rsidRPr="00E95596">
        <w:rPr>
          <w:szCs w:val="28"/>
        </w:rPr>
        <w:t xml:space="preserve"> з площі сільськогосподарських угідь та/або земель водного фонду, що перебуває у власності сільськогосподарського товаровиробника або надана йому у користування, у тому числі на умовах оренди, </w:t>
      </w:r>
      <w:r w:rsidR="00693580">
        <w:t xml:space="preserve">у податкових періодах, коли </w:t>
      </w:r>
      <w:r w:rsidRPr="00E95596">
        <w:rPr>
          <w:szCs w:val="28"/>
        </w:rPr>
        <w:t xml:space="preserve">на територіях, на яких розташовані такі сільськогосподарські угіддя та/або землі </w:t>
      </w:r>
      <w:r w:rsidRPr="00E95596">
        <w:rPr>
          <w:szCs w:val="28"/>
        </w:rPr>
        <w:lastRenderedPageBreak/>
        <w:t>водного фонду</w:t>
      </w:r>
      <w:r>
        <w:rPr>
          <w:szCs w:val="28"/>
        </w:rPr>
        <w:t>,</w:t>
      </w:r>
      <w:r w:rsidRPr="00E95596">
        <w:rPr>
          <w:szCs w:val="28"/>
        </w:rPr>
        <w:t xml:space="preserve"> ведуться </w:t>
      </w:r>
      <w:r w:rsidRPr="0029507B">
        <w:rPr>
          <w:szCs w:val="28"/>
        </w:rPr>
        <w:t>активн</w:t>
      </w:r>
      <w:r>
        <w:rPr>
          <w:szCs w:val="28"/>
        </w:rPr>
        <w:t xml:space="preserve">і </w:t>
      </w:r>
      <w:r w:rsidRPr="00E95596">
        <w:rPr>
          <w:szCs w:val="28"/>
        </w:rPr>
        <w:t>бойові дії або території тимчасово окуповані збройн</w:t>
      </w:r>
      <w:r>
        <w:rPr>
          <w:szCs w:val="28"/>
        </w:rPr>
        <w:t>ими формуваннями російської ф</w:t>
      </w:r>
      <w:r w:rsidRPr="00E95596">
        <w:rPr>
          <w:szCs w:val="28"/>
        </w:rPr>
        <w:t>едерації:</w:t>
      </w:r>
    </w:p>
    <w:p w:rsidR="00B033DA" w:rsidRPr="00EA4F19" w:rsidRDefault="00B033DA" w:rsidP="00EA4F19">
      <w:pPr>
        <w:shd w:val="clear" w:color="auto" w:fill="FFFFFF"/>
        <w:spacing w:line="235" w:lineRule="auto"/>
        <w:ind w:firstLine="567"/>
      </w:pPr>
    </w:p>
    <w:tbl>
      <w:tblPr>
        <w:tblW w:w="10031" w:type="dxa"/>
        <w:shd w:val="clear" w:color="auto" w:fill="FFFFFF" w:themeFill="background1"/>
        <w:tblLook w:val="00A0" w:firstRow="1" w:lastRow="0" w:firstColumn="1" w:lastColumn="0" w:noHBand="0" w:noVBand="0"/>
      </w:tblPr>
      <w:tblGrid>
        <w:gridCol w:w="2376"/>
        <w:gridCol w:w="7655"/>
      </w:tblGrid>
      <w:tr w:rsidR="00B033DA" w:rsidRPr="00141B0C" w:rsidTr="00E953D0">
        <w:tc>
          <w:tcPr>
            <w:tcW w:w="2376" w:type="dxa"/>
            <w:shd w:val="clear" w:color="auto" w:fill="FFFFFF" w:themeFill="background1"/>
          </w:tcPr>
          <w:p w:rsidR="00B033DA" w:rsidRPr="00E953D0" w:rsidRDefault="00B033DA" w:rsidP="00E95596">
            <w:pPr>
              <w:rPr>
                <w:b/>
                <w:strike/>
                <w:sz w:val="24"/>
                <w:szCs w:val="24"/>
              </w:rPr>
            </w:pPr>
          </w:p>
        </w:tc>
        <w:tc>
          <w:tcPr>
            <w:tcW w:w="7655" w:type="dxa"/>
            <w:shd w:val="clear" w:color="auto" w:fill="FFFFFF" w:themeFill="background1"/>
          </w:tcPr>
          <w:p w:rsidR="00B033DA" w:rsidRPr="00E953D0" w:rsidRDefault="00B033DA" w:rsidP="00B5131C">
            <w:pPr>
              <w:spacing w:after="120"/>
              <w:ind w:left="864" w:hanging="864"/>
              <w:rPr>
                <w:sz w:val="24"/>
                <w:szCs w:val="24"/>
              </w:rPr>
            </w:pPr>
            <w:r w:rsidRPr="00E953D0">
              <w:rPr>
                <w:b/>
                <w:sz w:val="24"/>
                <w:szCs w:val="24"/>
              </w:rPr>
              <w:t>2022 рік</w:t>
            </w:r>
            <w:r w:rsidRPr="00E953D0">
              <w:rPr>
                <w:sz w:val="24"/>
                <w:szCs w:val="24"/>
              </w:rPr>
              <w:t xml:space="preserve"> - </w:t>
            </w:r>
            <w:r w:rsidRPr="00E953D0">
              <w:rPr>
                <w:b/>
                <w:sz w:val="24"/>
                <w:szCs w:val="24"/>
              </w:rPr>
              <w:t>з 1 березня</w:t>
            </w:r>
            <w:r w:rsidRPr="00E953D0">
              <w:rPr>
                <w:sz w:val="24"/>
                <w:szCs w:val="24"/>
              </w:rPr>
              <w:t xml:space="preserve"> за податкові періоди, коли на територіях, на яких розташовані такі сільськогосподарські угіддя та/або землі водного фонду, ведуться активні бойові дії або території тимчасово окуповані збройними формуваннями російської федерації, </w:t>
            </w:r>
            <w:r w:rsidRPr="00E953D0">
              <w:rPr>
                <w:b/>
                <w:sz w:val="24"/>
                <w:szCs w:val="24"/>
              </w:rPr>
              <w:t>до дати завершення</w:t>
            </w:r>
            <w:r w:rsidRPr="00E953D0">
              <w:rPr>
                <w:sz w:val="24"/>
                <w:szCs w:val="24"/>
              </w:rPr>
              <w:t xml:space="preserve"> на таких територіях активних бойових дій або тимчасової окупації російською федерацією (</w:t>
            </w:r>
            <w:r w:rsidR="00D6310F" w:rsidRPr="00E953D0">
              <w:rPr>
                <w:sz w:val="24"/>
                <w:szCs w:val="24"/>
              </w:rPr>
              <w:t xml:space="preserve">крім </w:t>
            </w:r>
            <w:r w:rsidRPr="00E953D0">
              <w:rPr>
                <w:sz w:val="24"/>
                <w:szCs w:val="24"/>
              </w:rPr>
              <w:t>територій, на яких ведення активних бойових дій або тимчасової окупації російською федерацією завершені до                   1 травня 2022 року</w:t>
            </w:r>
            <w:r w:rsidR="00D6310F" w:rsidRPr="00E953D0">
              <w:rPr>
                <w:sz w:val="24"/>
                <w:szCs w:val="24"/>
              </w:rPr>
              <w:t xml:space="preserve">, оскільки на них не поширюється дія </w:t>
            </w:r>
            <w:r w:rsidR="00127038" w:rsidRPr="00E953D0">
              <w:rPr>
                <w:sz w:val="24"/>
                <w:szCs w:val="24"/>
              </w:rPr>
              <w:t>підпункту 69.33 пункту 69 підрозділу 10 розділу ХХ «Перехідні положення»</w:t>
            </w:r>
            <w:r w:rsidRPr="00E953D0">
              <w:rPr>
                <w:sz w:val="24"/>
                <w:szCs w:val="24"/>
              </w:rPr>
              <w:t>);</w:t>
            </w:r>
          </w:p>
          <w:p w:rsidR="00B033DA" w:rsidRPr="00E953D0" w:rsidRDefault="00B033DA" w:rsidP="00075091">
            <w:pPr>
              <w:ind w:left="864" w:hanging="864"/>
              <w:rPr>
                <w:sz w:val="24"/>
                <w:szCs w:val="24"/>
              </w:rPr>
            </w:pPr>
            <w:r w:rsidRPr="00E953D0">
              <w:rPr>
                <w:sz w:val="24"/>
                <w:szCs w:val="24"/>
              </w:rPr>
              <w:t xml:space="preserve"> </w:t>
            </w:r>
            <w:r w:rsidRPr="00E953D0">
              <w:rPr>
                <w:b/>
                <w:sz w:val="24"/>
                <w:szCs w:val="24"/>
              </w:rPr>
              <w:t>2023 рік</w:t>
            </w:r>
            <w:r w:rsidRPr="00E953D0">
              <w:rPr>
                <w:sz w:val="24"/>
                <w:szCs w:val="24"/>
              </w:rPr>
              <w:t xml:space="preserve"> - за податкові періоди, коли на територіях, на яких розташовані такі сільськогосподарські угіддя та/або землі водного фонду, ведуться активні бойові дії або території тимчасово окуповані збройними формуваннями російської федерації, </w:t>
            </w:r>
            <w:r w:rsidRPr="00E953D0">
              <w:rPr>
                <w:b/>
                <w:sz w:val="24"/>
                <w:szCs w:val="24"/>
              </w:rPr>
              <w:t>до дати</w:t>
            </w:r>
            <w:r w:rsidRPr="00E953D0">
              <w:rPr>
                <w:sz w:val="24"/>
                <w:szCs w:val="24"/>
              </w:rPr>
              <w:t xml:space="preserve"> завершення на таких територіях активних бойових дій або тимчасової окупації російською федерацією</w:t>
            </w:r>
          </w:p>
        </w:tc>
      </w:tr>
    </w:tbl>
    <w:p w:rsidR="00F2115B" w:rsidRDefault="00F2115B" w:rsidP="00355BCC">
      <w:pPr>
        <w:ind w:firstLine="567"/>
        <w:rPr>
          <w:szCs w:val="28"/>
        </w:rPr>
      </w:pPr>
      <w:r>
        <w:rPr>
          <w:szCs w:val="28"/>
        </w:rPr>
        <w:t xml:space="preserve">Як виняток </w:t>
      </w:r>
      <w:r w:rsidR="006F495F" w:rsidRPr="006F495F">
        <w:rPr>
          <w:szCs w:val="28"/>
        </w:rPr>
        <w:t>підпункт</w:t>
      </w:r>
      <w:r w:rsidR="006F495F" w:rsidRPr="004C0EF5">
        <w:rPr>
          <w:szCs w:val="28"/>
        </w:rPr>
        <w:t> 69.33 пункту 69 підрозділу 10 розділу ХХ «Перехідні положення»</w:t>
      </w:r>
      <w:r w:rsidR="006F495F">
        <w:rPr>
          <w:szCs w:val="28"/>
        </w:rPr>
        <w:t xml:space="preserve"> </w:t>
      </w:r>
      <w:r w:rsidR="00582ECE">
        <w:rPr>
          <w:szCs w:val="28"/>
        </w:rPr>
        <w:t xml:space="preserve">Кодексу </w:t>
      </w:r>
      <w:r w:rsidR="006F495F">
        <w:rPr>
          <w:szCs w:val="28"/>
        </w:rPr>
        <w:t>не поширюється на з</w:t>
      </w:r>
      <w:r>
        <w:rPr>
          <w:szCs w:val="28"/>
        </w:rPr>
        <w:t>азначені земельні ділянки, розташовані на територіях</w:t>
      </w:r>
      <w:r w:rsidR="00582ECE">
        <w:rPr>
          <w:szCs w:val="28"/>
        </w:rPr>
        <w:t>,</w:t>
      </w:r>
      <w:r>
        <w:rPr>
          <w:szCs w:val="28"/>
        </w:rPr>
        <w:t xml:space="preserve"> </w:t>
      </w:r>
      <w:r w:rsidRPr="006F495F">
        <w:rPr>
          <w:b/>
          <w:szCs w:val="28"/>
        </w:rPr>
        <w:t xml:space="preserve">на </w:t>
      </w:r>
      <w:r w:rsidRPr="00355BCC">
        <w:rPr>
          <w:b/>
          <w:szCs w:val="28"/>
        </w:rPr>
        <w:t>яких ведення активних бойових дій або тимчасової окупації</w:t>
      </w:r>
      <w:r>
        <w:rPr>
          <w:b/>
          <w:szCs w:val="28"/>
        </w:rPr>
        <w:t xml:space="preserve"> р</w:t>
      </w:r>
      <w:r w:rsidRPr="00355BCC">
        <w:rPr>
          <w:b/>
          <w:szCs w:val="28"/>
        </w:rPr>
        <w:t>осій</w:t>
      </w:r>
      <w:r>
        <w:rPr>
          <w:b/>
          <w:szCs w:val="28"/>
        </w:rPr>
        <w:t>ською ф</w:t>
      </w:r>
      <w:r w:rsidRPr="00355BCC">
        <w:rPr>
          <w:b/>
          <w:szCs w:val="28"/>
        </w:rPr>
        <w:t xml:space="preserve">едерацією завершені до 1 травня 2022 </w:t>
      </w:r>
      <w:r w:rsidRPr="004C0EF5">
        <w:rPr>
          <w:b/>
          <w:szCs w:val="28"/>
        </w:rPr>
        <w:t>року</w:t>
      </w:r>
      <w:r w:rsidR="006F495F">
        <w:rPr>
          <w:b/>
          <w:szCs w:val="28"/>
        </w:rPr>
        <w:t>.</w:t>
      </w:r>
    </w:p>
    <w:p w:rsidR="00B033DA" w:rsidRPr="004C0EF5" w:rsidRDefault="00B033DA" w:rsidP="00355BCC">
      <w:pPr>
        <w:ind w:firstLine="567"/>
        <w:rPr>
          <w:b/>
          <w:szCs w:val="28"/>
        </w:rPr>
      </w:pPr>
      <w:r w:rsidRPr="00355BCC">
        <w:rPr>
          <w:szCs w:val="28"/>
        </w:rPr>
        <w:t>Для цілей справляння єдиного податку четвертої групи у 2022 році наказ             № 309 застосовується у частині наявності певної території у Переліку територій, затвердженого наказом № 309 у чинній редакції (зі змінами). Дати початку та завершення активних бойових дій або тимчасової окупації не враховуються</w:t>
      </w:r>
      <w:r w:rsidR="006F495F">
        <w:rPr>
          <w:szCs w:val="28"/>
        </w:rPr>
        <w:t>.</w:t>
      </w:r>
    </w:p>
    <w:p w:rsidR="00B033DA" w:rsidRPr="00075091" w:rsidRDefault="00B033DA" w:rsidP="00355BCC">
      <w:pPr>
        <w:ind w:firstLine="567"/>
        <w:rPr>
          <w:rFonts w:ascii="Calibri" w:hAnsi="Calibri"/>
          <w:b/>
          <w:sz w:val="16"/>
          <w:szCs w:val="16"/>
        </w:rPr>
      </w:pPr>
    </w:p>
    <w:p w:rsidR="00B033DA" w:rsidRDefault="00B033DA" w:rsidP="0029507B">
      <w:pPr>
        <w:spacing w:line="235" w:lineRule="auto"/>
        <w:ind w:firstLine="567"/>
        <w:rPr>
          <w:szCs w:val="28"/>
        </w:rPr>
      </w:pPr>
      <w:r w:rsidRPr="00E01B99">
        <w:rPr>
          <w:szCs w:val="28"/>
        </w:rPr>
        <w:t xml:space="preserve">Дати початку та завершення активних бойових дій або тимчасової окупації у 2023 році визначаються відповідно до даних Переліку територій, затвердженого наказом № 309 у чинній редакції (зі змінами). </w:t>
      </w:r>
    </w:p>
    <w:p w:rsidR="00B033DA" w:rsidRDefault="00B033DA" w:rsidP="0029507B">
      <w:pPr>
        <w:spacing w:line="235" w:lineRule="auto"/>
        <w:ind w:firstLine="567"/>
        <w:rPr>
          <w:szCs w:val="28"/>
        </w:rPr>
      </w:pPr>
    </w:p>
    <w:p w:rsidR="00B033DA" w:rsidRPr="00EE36C7" w:rsidRDefault="00B033DA" w:rsidP="0029507B">
      <w:pPr>
        <w:ind w:firstLine="273"/>
        <w:rPr>
          <w:rFonts w:ascii="Calibri" w:hAnsi="Calibri"/>
          <w:szCs w:val="28"/>
        </w:rPr>
      </w:pPr>
      <w:r w:rsidRPr="00E01B99">
        <w:rPr>
          <w:b/>
          <w:i/>
          <w:szCs w:val="28"/>
        </w:rPr>
        <w:t>Увага!</w:t>
      </w:r>
      <w:r w:rsidRPr="00E01B99">
        <w:rPr>
          <w:szCs w:val="28"/>
        </w:rPr>
        <w:t xml:space="preserve"> Наказом № 309 у розділі І затверджені території можливих бойових дій (частина перша) та території активних бойових дій (частина друга), у розділі ІІ затверджені т</w:t>
      </w:r>
      <w:r>
        <w:t>имчасово окуповані російською ф</w:t>
      </w:r>
      <w:r w:rsidRPr="00E01B99">
        <w:t>едерацією території України</w:t>
      </w:r>
      <w:r w:rsidRPr="00E01B99">
        <w:rPr>
          <w:szCs w:val="28"/>
        </w:rPr>
        <w:t xml:space="preserve">. Отже, для цілей справляння єдиного податку четвертої групи відповідно до п.п. 69.33 п. 69 </w:t>
      </w:r>
      <w:r w:rsidRPr="00E01B99">
        <w:t>п. 69 підрозд. 10 розд. ХХ «Перехідні положення» Кодексу</w:t>
      </w:r>
      <w:r w:rsidRPr="00E01B99">
        <w:rPr>
          <w:szCs w:val="28"/>
        </w:rPr>
        <w:t xml:space="preserve"> застосовується тільки перелік територій активних бойових дій та тимчасово окупованих </w:t>
      </w:r>
      <w:r>
        <w:rPr>
          <w:szCs w:val="28"/>
        </w:rPr>
        <w:t>р</w:t>
      </w:r>
      <w:r w:rsidRPr="00E01B99">
        <w:t xml:space="preserve">осійською </w:t>
      </w:r>
      <w:r>
        <w:t>ф</w:t>
      </w:r>
      <w:r w:rsidRPr="00E01B99">
        <w:t>едерацією</w:t>
      </w:r>
      <w:r w:rsidRPr="00E01B99">
        <w:rPr>
          <w:szCs w:val="28"/>
        </w:rPr>
        <w:t>.</w:t>
      </w:r>
    </w:p>
    <w:p w:rsidR="002D2AF6" w:rsidRDefault="002D2AF6" w:rsidP="00EE36C7">
      <w:pPr>
        <w:pStyle w:val="ac"/>
        <w:widowControl w:val="0"/>
        <w:spacing w:before="0" w:beforeAutospacing="0" w:after="0" w:afterAutospacing="0"/>
        <w:ind w:firstLine="567"/>
        <w:jc w:val="both"/>
        <w:rPr>
          <w:sz w:val="28"/>
          <w:szCs w:val="22"/>
          <w:lang w:eastAsia="en-US"/>
        </w:rPr>
      </w:pPr>
    </w:p>
    <w:p w:rsidR="00B033DA" w:rsidRPr="00EE36C7" w:rsidRDefault="00B033DA" w:rsidP="00EE36C7">
      <w:pPr>
        <w:pStyle w:val="ac"/>
        <w:widowControl w:val="0"/>
        <w:spacing w:before="0" w:beforeAutospacing="0" w:after="0" w:afterAutospacing="0"/>
        <w:ind w:firstLine="567"/>
        <w:jc w:val="both"/>
        <w:rPr>
          <w:sz w:val="28"/>
          <w:szCs w:val="22"/>
          <w:lang w:eastAsia="en-US"/>
        </w:rPr>
      </w:pPr>
      <w:r w:rsidRPr="00EE36C7">
        <w:rPr>
          <w:sz w:val="28"/>
          <w:szCs w:val="22"/>
          <w:lang w:eastAsia="en-US"/>
        </w:rPr>
        <w:t xml:space="preserve">Також Закон № </w:t>
      </w:r>
      <w:r w:rsidRPr="004C0EF5">
        <w:rPr>
          <w:sz w:val="28"/>
          <w:szCs w:val="22"/>
          <w:lang w:eastAsia="en-US"/>
        </w:rPr>
        <w:t xml:space="preserve">3050 </w:t>
      </w:r>
      <w:r w:rsidR="00127038" w:rsidRPr="004C0EF5">
        <w:rPr>
          <w:sz w:val="28"/>
          <w:szCs w:val="28"/>
        </w:rPr>
        <w:t>(п. 292</w:t>
      </w:r>
      <w:r w:rsidR="00127038" w:rsidRPr="004C0EF5">
        <w:rPr>
          <w:sz w:val="28"/>
          <w:szCs w:val="28"/>
          <w:vertAlign w:val="superscript"/>
        </w:rPr>
        <w:t>1</w:t>
      </w:r>
      <w:r w:rsidR="00127038" w:rsidRPr="004C0EF5">
        <w:rPr>
          <w:sz w:val="28"/>
          <w:szCs w:val="28"/>
        </w:rPr>
        <w:t>.1 ст. 292</w:t>
      </w:r>
      <w:r w:rsidR="00127038" w:rsidRPr="004C0EF5">
        <w:rPr>
          <w:sz w:val="28"/>
          <w:szCs w:val="28"/>
          <w:vertAlign w:val="superscript"/>
        </w:rPr>
        <w:t xml:space="preserve">1  </w:t>
      </w:r>
      <w:r w:rsidR="00127038" w:rsidRPr="004C0EF5">
        <w:rPr>
          <w:sz w:val="28"/>
          <w:szCs w:val="28"/>
        </w:rPr>
        <w:t>Кодексу)</w:t>
      </w:r>
      <w:r w:rsidRPr="004C0EF5">
        <w:rPr>
          <w:sz w:val="28"/>
          <w:szCs w:val="22"/>
          <w:lang w:eastAsia="en-US"/>
        </w:rPr>
        <w:t xml:space="preserve"> </w:t>
      </w:r>
      <w:r w:rsidRPr="00EE36C7">
        <w:rPr>
          <w:sz w:val="28"/>
          <w:szCs w:val="22"/>
          <w:lang w:eastAsia="en-US"/>
        </w:rPr>
        <w:t xml:space="preserve">визначає особливості оподаткування </w:t>
      </w:r>
      <w:r>
        <w:rPr>
          <w:sz w:val="28"/>
          <w:szCs w:val="22"/>
          <w:lang w:eastAsia="en-US"/>
        </w:rPr>
        <w:t xml:space="preserve">єдиним податком четвертої групи </w:t>
      </w:r>
      <w:r w:rsidRPr="00EE36C7">
        <w:rPr>
          <w:sz w:val="28"/>
          <w:szCs w:val="22"/>
          <w:lang w:eastAsia="en-US"/>
        </w:rPr>
        <w:t>за земельні ділянки, які:</w:t>
      </w:r>
    </w:p>
    <w:p w:rsidR="00B033DA" w:rsidRPr="0057482F" w:rsidRDefault="00B033DA" w:rsidP="00EE36C7">
      <w:pPr>
        <w:pStyle w:val="ac"/>
        <w:widowControl w:val="0"/>
        <w:spacing w:before="0" w:beforeAutospacing="0" w:after="0" w:afterAutospacing="0"/>
        <w:ind w:firstLine="567"/>
        <w:jc w:val="both"/>
        <w:rPr>
          <w:sz w:val="28"/>
          <w:szCs w:val="22"/>
          <w:lang w:eastAsia="en-US"/>
        </w:rPr>
      </w:pPr>
      <w:r w:rsidRPr="0057482F">
        <w:rPr>
          <w:sz w:val="28"/>
          <w:szCs w:val="22"/>
          <w:lang w:eastAsia="en-US"/>
        </w:rPr>
        <w:t xml:space="preserve">перебувають у </w:t>
      </w:r>
      <w:r w:rsidRPr="006B6660">
        <w:rPr>
          <w:sz w:val="28"/>
          <w:szCs w:val="22"/>
          <w:lang w:eastAsia="en-US"/>
        </w:rPr>
        <w:t>консервації;</w:t>
      </w:r>
    </w:p>
    <w:p w:rsidR="00B033DA" w:rsidRPr="006B6660" w:rsidRDefault="00B033DA" w:rsidP="00EE36C7">
      <w:pPr>
        <w:widowControl w:val="0"/>
        <w:ind w:firstLine="567"/>
      </w:pPr>
      <w:r w:rsidRPr="0057482F">
        <w:t xml:space="preserve">забруднені вибухонебезпечними </w:t>
      </w:r>
      <w:r w:rsidRPr="006B6660">
        <w:t>предметами;</w:t>
      </w:r>
    </w:p>
    <w:p w:rsidR="00B033DA" w:rsidRPr="00693580" w:rsidRDefault="00B033DA" w:rsidP="00EE36C7">
      <w:pPr>
        <w:widowControl w:val="0"/>
        <w:ind w:firstLine="567"/>
        <w:rPr>
          <w:lang w:val="ru-RU"/>
        </w:rPr>
      </w:pPr>
      <w:r w:rsidRPr="006B6660">
        <w:t>непридатні для використання у зв’язку з потенційною загрозою їх забруднення вибухонебезпечними предметами</w:t>
      </w:r>
      <w:r w:rsidR="004C0EF5" w:rsidRPr="00693580">
        <w:rPr>
          <w:lang w:val="ru-RU"/>
        </w:rPr>
        <w:t>.</w:t>
      </w:r>
    </w:p>
    <w:p w:rsidR="00B033DA" w:rsidRDefault="00B033DA" w:rsidP="00EE36C7">
      <w:pPr>
        <w:ind w:firstLine="567"/>
        <w:rPr>
          <w:b/>
          <w:szCs w:val="28"/>
        </w:rPr>
      </w:pPr>
      <w:r w:rsidRPr="00610A21">
        <w:rPr>
          <w:b/>
          <w:szCs w:val="28"/>
        </w:rPr>
        <w:t>Не нараховується та не сплачується</w:t>
      </w:r>
      <w:r>
        <w:rPr>
          <w:b/>
          <w:szCs w:val="28"/>
        </w:rPr>
        <w:t xml:space="preserve"> єдиний податок четвертої групи</w:t>
      </w:r>
      <w:r w:rsidRPr="00610A21">
        <w:rPr>
          <w:b/>
          <w:szCs w:val="28"/>
        </w:rPr>
        <w:t>:</w:t>
      </w:r>
    </w:p>
    <w:p w:rsidR="00B033DA" w:rsidRDefault="00B033DA" w:rsidP="002D2AF6">
      <w:pPr>
        <w:jc w:val="left"/>
        <w:rPr>
          <w:sz w:val="24"/>
          <w:szCs w:val="24"/>
        </w:rPr>
      </w:pPr>
      <w:r w:rsidRPr="006B6660">
        <w:rPr>
          <w:b/>
          <w:szCs w:val="28"/>
        </w:rPr>
        <w:lastRenderedPageBreak/>
        <w:t xml:space="preserve">        1)</w:t>
      </w:r>
      <w:r>
        <w:rPr>
          <w:b/>
          <w:szCs w:val="28"/>
        </w:rPr>
        <w:t xml:space="preserve"> з</w:t>
      </w:r>
      <w:r w:rsidRPr="00610A21">
        <w:rPr>
          <w:b/>
          <w:szCs w:val="28"/>
        </w:rPr>
        <w:t>а земельні ділянки, що перебувають у консервації:</w:t>
      </w:r>
    </w:p>
    <w:tbl>
      <w:tblPr>
        <w:tblW w:w="0" w:type="auto"/>
        <w:tblInd w:w="250" w:type="dxa"/>
        <w:tblLook w:val="00A0" w:firstRow="1" w:lastRow="0" w:firstColumn="1" w:lastColumn="0" w:noHBand="0" w:noVBand="0"/>
      </w:tblPr>
      <w:tblGrid>
        <w:gridCol w:w="2091"/>
        <w:gridCol w:w="1591"/>
        <w:gridCol w:w="6205"/>
      </w:tblGrid>
      <w:tr w:rsidR="00B033DA" w:rsidRPr="00141B0C" w:rsidTr="00141B0C">
        <w:tc>
          <w:tcPr>
            <w:tcW w:w="2126" w:type="dxa"/>
          </w:tcPr>
          <w:p w:rsidR="00B033DA" w:rsidRPr="00141B0C" w:rsidRDefault="00B033DA" w:rsidP="00141B0C">
            <w:pPr>
              <w:jc w:val="left"/>
              <w:rPr>
                <w:b/>
                <w:sz w:val="24"/>
                <w:szCs w:val="24"/>
              </w:rPr>
            </w:pPr>
            <w:r w:rsidRPr="00141B0C">
              <w:rPr>
                <w:b/>
                <w:sz w:val="24"/>
                <w:szCs w:val="24"/>
              </w:rPr>
              <w:t>Підстава</w:t>
            </w:r>
            <w:r>
              <w:rPr>
                <w:b/>
                <w:sz w:val="24"/>
                <w:szCs w:val="24"/>
              </w:rPr>
              <w:t xml:space="preserve"> (наявність всіх перелічених складових)</w:t>
            </w:r>
            <w:r w:rsidRPr="00141B0C">
              <w:rPr>
                <w:b/>
                <w:sz w:val="24"/>
                <w:szCs w:val="24"/>
              </w:rPr>
              <w:t>:</w:t>
            </w:r>
          </w:p>
        </w:tc>
        <w:tc>
          <w:tcPr>
            <w:tcW w:w="1597" w:type="dxa"/>
          </w:tcPr>
          <w:p w:rsidR="00B033DA" w:rsidRPr="00141B0C" w:rsidRDefault="00B033DA" w:rsidP="00EE36C7">
            <w:pPr>
              <w:rPr>
                <w:sz w:val="24"/>
                <w:szCs w:val="24"/>
              </w:rPr>
            </w:pPr>
          </w:p>
        </w:tc>
        <w:tc>
          <w:tcPr>
            <w:tcW w:w="6483" w:type="dxa"/>
          </w:tcPr>
          <w:p w:rsidR="00B033DA" w:rsidRPr="00141B0C" w:rsidRDefault="00B033DA" w:rsidP="00141B0C">
            <w:pPr>
              <w:ind w:left="42" w:hanging="138"/>
              <w:rPr>
                <w:sz w:val="24"/>
                <w:szCs w:val="24"/>
              </w:rPr>
            </w:pPr>
            <w:r w:rsidRPr="00141B0C">
              <w:rPr>
                <w:sz w:val="24"/>
                <w:szCs w:val="24"/>
              </w:rPr>
              <w:t>- рішення відповідного органу виконавчої влади або органу місцевого самоврядування, що здійснює розпорядження земельними ділянками державної та комунальної власності відповідно до повноважень, визначених ст. 122 Земельного кодексу України, про затвердження робочого проєкту землеустрою щодо консервації земельної ділянки;</w:t>
            </w:r>
          </w:p>
          <w:p w:rsidR="00B033DA" w:rsidRPr="00141B0C" w:rsidRDefault="00B033DA" w:rsidP="00141B0C">
            <w:pPr>
              <w:ind w:left="138" w:hanging="138"/>
              <w:rPr>
                <w:sz w:val="24"/>
                <w:szCs w:val="24"/>
              </w:rPr>
            </w:pPr>
          </w:p>
          <w:p w:rsidR="00B033DA" w:rsidRPr="00141B0C" w:rsidRDefault="00B033DA" w:rsidP="00141B0C">
            <w:pPr>
              <w:ind w:left="138" w:hanging="138"/>
              <w:rPr>
                <w:sz w:val="24"/>
                <w:szCs w:val="24"/>
              </w:rPr>
            </w:pPr>
            <w:r w:rsidRPr="00141B0C">
              <w:rPr>
                <w:sz w:val="24"/>
                <w:szCs w:val="24"/>
              </w:rPr>
              <w:t>- відомості/дані Державного земельного кадастру;</w:t>
            </w:r>
          </w:p>
          <w:p w:rsidR="00B033DA" w:rsidRPr="00141B0C" w:rsidRDefault="00B033DA" w:rsidP="00EE36C7">
            <w:pPr>
              <w:rPr>
                <w:sz w:val="24"/>
                <w:szCs w:val="24"/>
              </w:rPr>
            </w:pPr>
          </w:p>
        </w:tc>
      </w:tr>
      <w:tr w:rsidR="00B033DA" w:rsidRPr="00141B0C" w:rsidTr="00141B0C">
        <w:tc>
          <w:tcPr>
            <w:tcW w:w="2126" w:type="dxa"/>
          </w:tcPr>
          <w:p w:rsidR="00B033DA" w:rsidRPr="00141B0C" w:rsidRDefault="00B033DA" w:rsidP="00141B0C">
            <w:pPr>
              <w:jc w:val="left"/>
              <w:rPr>
                <w:sz w:val="24"/>
                <w:szCs w:val="24"/>
              </w:rPr>
            </w:pPr>
            <w:r w:rsidRPr="00141B0C">
              <w:rPr>
                <w:b/>
                <w:spacing w:val="-4"/>
                <w:sz w:val="24"/>
                <w:szCs w:val="24"/>
                <w:lang w:eastAsia="ru-RU"/>
              </w:rPr>
              <w:t>період звільнення</w:t>
            </w:r>
            <w:r w:rsidRPr="00141B0C">
              <w:rPr>
                <w:spacing w:val="-4"/>
                <w:sz w:val="24"/>
                <w:szCs w:val="24"/>
                <w:lang w:eastAsia="ru-RU"/>
              </w:rPr>
              <w:t>:</w:t>
            </w:r>
          </w:p>
        </w:tc>
        <w:tc>
          <w:tcPr>
            <w:tcW w:w="1597" w:type="dxa"/>
          </w:tcPr>
          <w:p w:rsidR="00B033DA" w:rsidRPr="00141B0C" w:rsidRDefault="00B033DA" w:rsidP="00EE36C7">
            <w:pPr>
              <w:rPr>
                <w:sz w:val="24"/>
                <w:szCs w:val="24"/>
              </w:rPr>
            </w:pPr>
            <w:r w:rsidRPr="00141B0C">
              <w:rPr>
                <w:sz w:val="24"/>
                <w:szCs w:val="24"/>
              </w:rPr>
              <w:t>землі державної та комунальної власності</w:t>
            </w:r>
          </w:p>
        </w:tc>
        <w:tc>
          <w:tcPr>
            <w:tcW w:w="6483" w:type="dxa"/>
          </w:tcPr>
          <w:p w:rsidR="00B033DA" w:rsidRPr="00141B0C" w:rsidRDefault="00B033DA" w:rsidP="00610A21">
            <w:pPr>
              <w:rPr>
                <w:sz w:val="24"/>
                <w:szCs w:val="24"/>
              </w:rPr>
            </w:pPr>
            <w:r w:rsidRPr="00141B0C">
              <w:rPr>
                <w:sz w:val="24"/>
                <w:szCs w:val="24"/>
              </w:rPr>
              <w:t>з першого числа місяця, у якому прийнято рішення, до останнього числа місяця, у якому завершуються заходи щодо охорони земель і</w:t>
            </w:r>
            <w:r w:rsidR="00E06A96" w:rsidRPr="004C0EF5">
              <w:rPr>
                <w:sz w:val="24"/>
                <w:szCs w:val="24"/>
              </w:rPr>
              <w:t xml:space="preserve"> ґрунтів</w:t>
            </w:r>
            <w:r w:rsidRPr="004C0EF5">
              <w:rPr>
                <w:sz w:val="24"/>
                <w:szCs w:val="24"/>
              </w:rPr>
              <w:t xml:space="preserve"> </w:t>
            </w:r>
            <w:r w:rsidRPr="00141B0C">
              <w:rPr>
                <w:sz w:val="24"/>
                <w:szCs w:val="24"/>
              </w:rPr>
              <w:t>згідно з відомостями Державного земельного кадастру;</w:t>
            </w:r>
          </w:p>
          <w:p w:rsidR="00B033DA" w:rsidRPr="00141B0C" w:rsidRDefault="00B033DA" w:rsidP="00610A21">
            <w:pPr>
              <w:rPr>
                <w:sz w:val="24"/>
                <w:szCs w:val="24"/>
              </w:rPr>
            </w:pPr>
          </w:p>
        </w:tc>
      </w:tr>
      <w:tr w:rsidR="00B033DA" w:rsidRPr="00141B0C" w:rsidTr="00141B0C">
        <w:tc>
          <w:tcPr>
            <w:tcW w:w="2126" w:type="dxa"/>
          </w:tcPr>
          <w:p w:rsidR="00B033DA" w:rsidRPr="00141B0C" w:rsidRDefault="00B033DA" w:rsidP="00EE36C7">
            <w:pPr>
              <w:rPr>
                <w:sz w:val="24"/>
                <w:szCs w:val="24"/>
              </w:rPr>
            </w:pPr>
          </w:p>
        </w:tc>
        <w:tc>
          <w:tcPr>
            <w:tcW w:w="1597" w:type="dxa"/>
          </w:tcPr>
          <w:p w:rsidR="00B033DA" w:rsidRPr="00141B0C" w:rsidRDefault="00B033DA" w:rsidP="00610A21">
            <w:pPr>
              <w:rPr>
                <w:sz w:val="24"/>
                <w:szCs w:val="24"/>
              </w:rPr>
            </w:pPr>
            <w:r w:rsidRPr="00141B0C">
              <w:rPr>
                <w:sz w:val="24"/>
                <w:szCs w:val="24"/>
              </w:rPr>
              <w:t>землі приватної власності</w:t>
            </w:r>
          </w:p>
        </w:tc>
        <w:tc>
          <w:tcPr>
            <w:tcW w:w="6483" w:type="dxa"/>
          </w:tcPr>
          <w:p w:rsidR="00B033DA" w:rsidRPr="00141B0C" w:rsidRDefault="00B033DA" w:rsidP="004C0EF5">
            <w:pPr>
              <w:rPr>
                <w:sz w:val="24"/>
                <w:szCs w:val="24"/>
              </w:rPr>
            </w:pPr>
            <w:r w:rsidRPr="00141B0C">
              <w:rPr>
                <w:sz w:val="24"/>
                <w:szCs w:val="24"/>
              </w:rPr>
              <w:t>з дня внесення відомостей до Державного земельного кадастру про заходи щодо охорони земель і</w:t>
            </w:r>
            <w:r w:rsidRPr="004C0EF5">
              <w:rPr>
                <w:sz w:val="24"/>
                <w:szCs w:val="24"/>
              </w:rPr>
              <w:t xml:space="preserve"> </w:t>
            </w:r>
            <w:r w:rsidR="00E06A96" w:rsidRPr="004C0EF5">
              <w:rPr>
                <w:sz w:val="24"/>
                <w:szCs w:val="24"/>
              </w:rPr>
              <w:t xml:space="preserve">ґрунтів </w:t>
            </w:r>
            <w:r w:rsidRPr="00141B0C">
              <w:rPr>
                <w:sz w:val="24"/>
                <w:szCs w:val="24"/>
              </w:rPr>
              <w:t xml:space="preserve">до останнього числа місяця, у якому завершуються заходи щодо охорони земель і </w:t>
            </w:r>
            <w:r w:rsidR="00E06A96" w:rsidRPr="004C0EF5">
              <w:rPr>
                <w:sz w:val="24"/>
                <w:szCs w:val="24"/>
              </w:rPr>
              <w:t>ґрунтів</w:t>
            </w:r>
            <w:r w:rsidRPr="00141B0C">
              <w:rPr>
                <w:sz w:val="24"/>
                <w:szCs w:val="24"/>
              </w:rPr>
              <w:t xml:space="preserve"> згідно з відомостями</w:t>
            </w:r>
            <w:r>
              <w:rPr>
                <w:sz w:val="24"/>
                <w:szCs w:val="24"/>
              </w:rPr>
              <w:t xml:space="preserve"> Державного земельного кадастру;</w:t>
            </w:r>
          </w:p>
        </w:tc>
      </w:tr>
    </w:tbl>
    <w:p w:rsidR="00B033DA" w:rsidRDefault="00B033DA" w:rsidP="00EE36C7">
      <w:pPr>
        <w:ind w:firstLine="567"/>
        <w:rPr>
          <w:sz w:val="24"/>
          <w:szCs w:val="24"/>
        </w:rPr>
      </w:pPr>
    </w:p>
    <w:p w:rsidR="00B033DA" w:rsidRPr="00A76231" w:rsidRDefault="00B033DA" w:rsidP="00EE36C7">
      <w:pPr>
        <w:ind w:firstLine="567"/>
        <w:rPr>
          <w:b/>
          <w:szCs w:val="28"/>
        </w:rPr>
      </w:pPr>
      <w:r w:rsidRPr="00A76231">
        <w:rPr>
          <w:b/>
          <w:szCs w:val="28"/>
        </w:rPr>
        <w:t>2) з</w:t>
      </w:r>
      <w:r>
        <w:rPr>
          <w:b/>
          <w:szCs w:val="28"/>
        </w:rPr>
        <w:t>а</w:t>
      </w:r>
      <w:r w:rsidRPr="00A76231">
        <w:rPr>
          <w:b/>
          <w:szCs w:val="28"/>
        </w:rPr>
        <w:t xml:space="preserve"> земельні ділянки, забруднені вибухонебезпечними предметами:</w:t>
      </w:r>
    </w:p>
    <w:p w:rsidR="00B033DA" w:rsidRDefault="00B033DA" w:rsidP="00A76231">
      <w:pPr>
        <w:ind w:firstLine="567"/>
        <w:rPr>
          <w:sz w:val="24"/>
          <w:szCs w:val="24"/>
        </w:rPr>
      </w:pPr>
    </w:p>
    <w:tbl>
      <w:tblPr>
        <w:tblW w:w="0" w:type="auto"/>
        <w:tblInd w:w="250" w:type="dxa"/>
        <w:tblLook w:val="00A0" w:firstRow="1" w:lastRow="0" w:firstColumn="1" w:lastColumn="0" w:noHBand="0" w:noVBand="0"/>
      </w:tblPr>
      <w:tblGrid>
        <w:gridCol w:w="2096"/>
        <w:gridCol w:w="7791"/>
      </w:tblGrid>
      <w:tr w:rsidR="00B033DA" w:rsidRPr="00141B0C" w:rsidTr="00141B0C">
        <w:tc>
          <w:tcPr>
            <w:tcW w:w="2126" w:type="dxa"/>
          </w:tcPr>
          <w:p w:rsidR="00B033DA" w:rsidRPr="00141B0C" w:rsidRDefault="00B033DA" w:rsidP="00141B0C">
            <w:pPr>
              <w:jc w:val="left"/>
              <w:rPr>
                <w:b/>
                <w:sz w:val="24"/>
                <w:szCs w:val="24"/>
              </w:rPr>
            </w:pPr>
            <w:r w:rsidRPr="00141B0C">
              <w:rPr>
                <w:b/>
                <w:sz w:val="24"/>
                <w:szCs w:val="24"/>
              </w:rPr>
              <w:t>підстава:</w:t>
            </w:r>
          </w:p>
        </w:tc>
        <w:tc>
          <w:tcPr>
            <w:tcW w:w="8080" w:type="dxa"/>
          </w:tcPr>
          <w:p w:rsidR="00B033DA" w:rsidRPr="00141B0C" w:rsidRDefault="00B033DA" w:rsidP="00141B0C">
            <w:pPr>
              <w:ind w:left="138" w:hanging="138"/>
              <w:rPr>
                <w:sz w:val="24"/>
                <w:szCs w:val="24"/>
              </w:rPr>
            </w:pPr>
            <w:r w:rsidRPr="00141B0C">
              <w:rPr>
                <w:sz w:val="24"/>
                <w:szCs w:val="24"/>
              </w:rPr>
              <w:t>- обстеження земельної ділянки опе</w:t>
            </w:r>
            <w:r>
              <w:rPr>
                <w:sz w:val="24"/>
                <w:szCs w:val="24"/>
              </w:rPr>
              <w:t>раторами протимінної діяльності.</w:t>
            </w:r>
          </w:p>
          <w:p w:rsidR="00B033DA" w:rsidRPr="00141B0C" w:rsidRDefault="00B033DA" w:rsidP="00141B0C">
            <w:pPr>
              <w:ind w:left="138" w:hanging="138"/>
              <w:rPr>
                <w:sz w:val="24"/>
                <w:szCs w:val="24"/>
              </w:rPr>
            </w:pPr>
          </w:p>
        </w:tc>
      </w:tr>
      <w:tr w:rsidR="00B033DA" w:rsidRPr="00141B0C" w:rsidTr="00141B0C">
        <w:tc>
          <w:tcPr>
            <w:tcW w:w="2126" w:type="dxa"/>
          </w:tcPr>
          <w:p w:rsidR="00B033DA" w:rsidRPr="00141B0C" w:rsidRDefault="00B033DA" w:rsidP="00141B0C">
            <w:pPr>
              <w:jc w:val="left"/>
              <w:rPr>
                <w:b/>
                <w:sz w:val="24"/>
                <w:szCs w:val="24"/>
              </w:rPr>
            </w:pPr>
            <w:r w:rsidRPr="00141B0C">
              <w:rPr>
                <w:b/>
                <w:spacing w:val="-4"/>
                <w:sz w:val="24"/>
                <w:szCs w:val="24"/>
                <w:lang w:eastAsia="ru-RU"/>
              </w:rPr>
              <w:t>період звільнення:</w:t>
            </w:r>
          </w:p>
        </w:tc>
        <w:tc>
          <w:tcPr>
            <w:tcW w:w="8080" w:type="dxa"/>
          </w:tcPr>
          <w:p w:rsidR="00B033DA" w:rsidRPr="00141B0C" w:rsidRDefault="00B033DA" w:rsidP="003E03A8">
            <w:pPr>
              <w:rPr>
                <w:sz w:val="24"/>
                <w:szCs w:val="24"/>
              </w:rPr>
            </w:pPr>
            <w:r w:rsidRPr="00141B0C">
              <w:rPr>
                <w:sz w:val="24"/>
                <w:szCs w:val="24"/>
              </w:rPr>
              <w:t>з першого числа місяця, на який припадає дата початку обстеження земельної ділянки до останнього числа місяця, в якому такі земельні ділянки визн</w:t>
            </w:r>
            <w:r>
              <w:rPr>
                <w:sz w:val="24"/>
                <w:szCs w:val="24"/>
              </w:rPr>
              <w:t>ані придатними для використання;</w:t>
            </w:r>
          </w:p>
        </w:tc>
      </w:tr>
    </w:tbl>
    <w:p w:rsidR="00B033DA" w:rsidRDefault="00B033DA" w:rsidP="00EE36C7">
      <w:pPr>
        <w:ind w:firstLine="567"/>
        <w:rPr>
          <w:sz w:val="24"/>
          <w:szCs w:val="24"/>
        </w:rPr>
      </w:pPr>
    </w:p>
    <w:p w:rsidR="00B033DA" w:rsidRPr="00DE5CC0" w:rsidRDefault="00B033DA" w:rsidP="00EE36C7">
      <w:pPr>
        <w:ind w:firstLine="567"/>
        <w:rPr>
          <w:b/>
          <w:szCs w:val="28"/>
        </w:rPr>
      </w:pPr>
      <w:r w:rsidRPr="00DE5CC0">
        <w:rPr>
          <w:b/>
          <w:szCs w:val="28"/>
        </w:rPr>
        <w:t>3)</w:t>
      </w:r>
      <w:r>
        <w:rPr>
          <w:b/>
          <w:szCs w:val="28"/>
        </w:rPr>
        <w:t xml:space="preserve"> </w:t>
      </w:r>
      <w:r w:rsidRPr="00DE5CC0">
        <w:rPr>
          <w:b/>
          <w:szCs w:val="28"/>
        </w:rPr>
        <w:t xml:space="preserve">за земельні ділянки, розташовані на територіях, на яких ведуться (велися) </w:t>
      </w:r>
      <w:r w:rsidRPr="00B57E99">
        <w:rPr>
          <w:b/>
          <w:szCs w:val="28"/>
          <w:u w:val="single"/>
        </w:rPr>
        <w:t>активні</w:t>
      </w:r>
      <w:r w:rsidRPr="00DE5CC0">
        <w:rPr>
          <w:b/>
          <w:szCs w:val="28"/>
        </w:rPr>
        <w:t xml:space="preserve"> бойов</w:t>
      </w:r>
      <w:r>
        <w:rPr>
          <w:b/>
          <w:szCs w:val="28"/>
        </w:rPr>
        <w:t>і дії або тимчасово окупованих російською ф</w:t>
      </w:r>
      <w:r w:rsidRPr="00DE5CC0">
        <w:rPr>
          <w:b/>
          <w:szCs w:val="28"/>
        </w:rPr>
        <w:t xml:space="preserve">едерацією, </w:t>
      </w:r>
      <w:r w:rsidRPr="00A76231">
        <w:rPr>
          <w:b/>
          <w:szCs w:val="28"/>
        </w:rPr>
        <w:t>забруднені вибухонебезпечними предметами</w:t>
      </w:r>
      <w:r w:rsidRPr="00DE5CC0">
        <w:rPr>
          <w:b/>
          <w:szCs w:val="28"/>
        </w:rPr>
        <w:t>:</w:t>
      </w:r>
    </w:p>
    <w:p w:rsidR="00B033DA" w:rsidRDefault="00B033DA" w:rsidP="00EE36C7">
      <w:pPr>
        <w:ind w:firstLine="567"/>
        <w:rPr>
          <w:sz w:val="24"/>
          <w:szCs w:val="24"/>
        </w:rPr>
      </w:pPr>
    </w:p>
    <w:tbl>
      <w:tblPr>
        <w:tblW w:w="0" w:type="auto"/>
        <w:tblInd w:w="250" w:type="dxa"/>
        <w:tblLook w:val="00A0" w:firstRow="1" w:lastRow="0" w:firstColumn="1" w:lastColumn="0" w:noHBand="0" w:noVBand="0"/>
      </w:tblPr>
      <w:tblGrid>
        <w:gridCol w:w="1985"/>
        <w:gridCol w:w="7795"/>
        <w:gridCol w:w="107"/>
      </w:tblGrid>
      <w:tr w:rsidR="00B033DA" w:rsidRPr="00141B0C" w:rsidTr="00141B0C">
        <w:trPr>
          <w:gridAfter w:val="1"/>
          <w:wAfter w:w="107" w:type="dxa"/>
        </w:trPr>
        <w:tc>
          <w:tcPr>
            <w:tcW w:w="1985" w:type="dxa"/>
          </w:tcPr>
          <w:p w:rsidR="00B033DA" w:rsidRPr="00141B0C" w:rsidRDefault="00B033DA" w:rsidP="00141B0C">
            <w:pPr>
              <w:jc w:val="left"/>
              <w:rPr>
                <w:b/>
                <w:sz w:val="24"/>
                <w:szCs w:val="24"/>
              </w:rPr>
            </w:pPr>
            <w:r>
              <w:rPr>
                <w:b/>
                <w:sz w:val="24"/>
                <w:szCs w:val="24"/>
              </w:rPr>
              <w:t>п</w:t>
            </w:r>
            <w:r w:rsidRPr="00141B0C">
              <w:rPr>
                <w:b/>
                <w:sz w:val="24"/>
                <w:szCs w:val="24"/>
              </w:rPr>
              <w:t>ідстава</w:t>
            </w:r>
            <w:r>
              <w:rPr>
                <w:b/>
                <w:sz w:val="24"/>
                <w:szCs w:val="24"/>
              </w:rPr>
              <w:t xml:space="preserve"> (наявність всіх перелічених складових)</w:t>
            </w:r>
            <w:r w:rsidRPr="00141B0C">
              <w:rPr>
                <w:b/>
                <w:sz w:val="24"/>
                <w:szCs w:val="24"/>
              </w:rPr>
              <w:t>:</w:t>
            </w:r>
          </w:p>
        </w:tc>
        <w:tc>
          <w:tcPr>
            <w:tcW w:w="7795" w:type="dxa"/>
          </w:tcPr>
          <w:p w:rsidR="00B033DA" w:rsidRPr="00D6310F" w:rsidRDefault="00B033DA" w:rsidP="003E03A8">
            <w:pPr>
              <w:rPr>
                <w:spacing w:val="-4"/>
                <w:sz w:val="24"/>
                <w:szCs w:val="24"/>
                <w:lang w:eastAsia="ru-RU"/>
              </w:rPr>
            </w:pPr>
            <w:r w:rsidRPr="00141B0C">
              <w:rPr>
                <w:spacing w:val="-4"/>
                <w:sz w:val="24"/>
                <w:szCs w:val="24"/>
                <w:lang w:eastAsia="ru-RU"/>
              </w:rPr>
              <w:t>- затверджений Перелік територій;</w:t>
            </w:r>
          </w:p>
          <w:p w:rsidR="00B033DA" w:rsidRPr="005F42F5" w:rsidRDefault="00B033DA" w:rsidP="003E03A8">
            <w:pPr>
              <w:rPr>
                <w:spacing w:val="-4"/>
                <w:sz w:val="24"/>
                <w:szCs w:val="24"/>
                <w:lang w:eastAsia="ru-RU"/>
              </w:rPr>
            </w:pPr>
            <w:r w:rsidRPr="00141B0C">
              <w:rPr>
                <w:sz w:val="24"/>
                <w:szCs w:val="24"/>
              </w:rPr>
              <w:t>- рішення органу місцевого самоврядування, військової адміністрації або військово-цивільної адміністрації про встановлення податкових пільг зі сплати місцевих податків і зборів щодо земельної ділянки</w:t>
            </w:r>
            <w:r w:rsidRPr="00D6310F">
              <w:rPr>
                <w:sz w:val="24"/>
                <w:szCs w:val="24"/>
              </w:rPr>
              <w:t xml:space="preserve"> на п</w:t>
            </w:r>
            <w:r>
              <w:rPr>
                <w:sz w:val="24"/>
                <w:szCs w:val="24"/>
              </w:rPr>
              <w:t>ідставі заяви платника податків;</w:t>
            </w:r>
          </w:p>
          <w:p w:rsidR="00B033DA" w:rsidRPr="00141B0C" w:rsidRDefault="00B033DA" w:rsidP="005F42F5">
            <w:pPr>
              <w:rPr>
                <w:sz w:val="24"/>
                <w:szCs w:val="24"/>
              </w:rPr>
            </w:pPr>
            <w:r w:rsidRPr="00141B0C">
              <w:rPr>
                <w:sz w:val="24"/>
                <w:szCs w:val="24"/>
              </w:rPr>
              <w:t>-</w:t>
            </w:r>
            <w:r>
              <w:rPr>
                <w:sz w:val="24"/>
                <w:szCs w:val="24"/>
              </w:rPr>
              <w:t xml:space="preserve"> </w:t>
            </w:r>
            <w:r w:rsidRPr="00141B0C">
              <w:rPr>
                <w:sz w:val="24"/>
                <w:szCs w:val="24"/>
              </w:rPr>
              <w:t>заява платника до органу місцевого самоврядування, військової адміністрації або військово-цивільної адміністрації про потенційне забруднення земельної ділянк</w:t>
            </w:r>
            <w:r>
              <w:rPr>
                <w:sz w:val="24"/>
                <w:szCs w:val="24"/>
              </w:rPr>
              <w:t xml:space="preserve">и вибухонебезпечними предметами, на підставі якої прийнято рішення </w:t>
            </w:r>
            <w:r w:rsidRPr="00141B0C">
              <w:rPr>
                <w:sz w:val="24"/>
                <w:szCs w:val="24"/>
              </w:rPr>
              <w:t>про встановлення податкових пільг зі сплати місцевих податків і зборів</w:t>
            </w:r>
            <w:r>
              <w:rPr>
                <w:sz w:val="24"/>
                <w:szCs w:val="24"/>
              </w:rPr>
              <w:t>;</w:t>
            </w:r>
          </w:p>
        </w:tc>
      </w:tr>
      <w:tr w:rsidR="00B033DA" w:rsidRPr="00141B0C" w:rsidTr="002C1321">
        <w:tc>
          <w:tcPr>
            <w:tcW w:w="1985" w:type="dxa"/>
          </w:tcPr>
          <w:p w:rsidR="00B033DA" w:rsidRPr="00141B0C" w:rsidRDefault="00B033DA" w:rsidP="00141B0C">
            <w:pPr>
              <w:jc w:val="left"/>
              <w:rPr>
                <w:b/>
                <w:spacing w:val="-4"/>
                <w:sz w:val="24"/>
                <w:szCs w:val="24"/>
                <w:lang w:eastAsia="ru-RU"/>
              </w:rPr>
            </w:pPr>
          </w:p>
          <w:p w:rsidR="00B033DA" w:rsidRPr="00141B0C" w:rsidRDefault="00B033DA" w:rsidP="00141B0C">
            <w:pPr>
              <w:jc w:val="left"/>
              <w:rPr>
                <w:sz w:val="24"/>
                <w:szCs w:val="24"/>
              </w:rPr>
            </w:pPr>
            <w:r w:rsidRPr="00141B0C">
              <w:rPr>
                <w:b/>
                <w:spacing w:val="-4"/>
                <w:sz w:val="24"/>
                <w:szCs w:val="24"/>
                <w:lang w:eastAsia="ru-RU"/>
              </w:rPr>
              <w:t>період звільнення</w:t>
            </w:r>
            <w:r w:rsidRPr="00141B0C">
              <w:rPr>
                <w:spacing w:val="-4"/>
                <w:sz w:val="24"/>
                <w:szCs w:val="24"/>
                <w:lang w:eastAsia="ru-RU"/>
              </w:rPr>
              <w:t>:</w:t>
            </w:r>
          </w:p>
        </w:tc>
        <w:tc>
          <w:tcPr>
            <w:tcW w:w="7902" w:type="dxa"/>
            <w:gridSpan w:val="2"/>
          </w:tcPr>
          <w:p w:rsidR="00B033DA" w:rsidRPr="00141B0C" w:rsidRDefault="00B033DA" w:rsidP="00DC2376">
            <w:pPr>
              <w:rPr>
                <w:sz w:val="24"/>
                <w:szCs w:val="24"/>
              </w:rPr>
            </w:pPr>
          </w:p>
          <w:p w:rsidR="00B033DA" w:rsidRPr="00141B0C" w:rsidRDefault="00B033DA" w:rsidP="00DC2376">
            <w:pPr>
              <w:rPr>
                <w:sz w:val="24"/>
                <w:szCs w:val="24"/>
              </w:rPr>
            </w:pPr>
            <w:r w:rsidRPr="00141B0C">
              <w:rPr>
                <w:sz w:val="24"/>
                <w:szCs w:val="24"/>
              </w:rPr>
              <w:t xml:space="preserve">з першого числа місяця, що настає за місяцем, в якому завершено </w:t>
            </w:r>
            <w:r w:rsidRPr="00141B0C">
              <w:rPr>
                <w:sz w:val="24"/>
                <w:szCs w:val="24"/>
                <w:u w:val="single"/>
              </w:rPr>
              <w:t>активні</w:t>
            </w:r>
            <w:r w:rsidRPr="00141B0C">
              <w:rPr>
                <w:sz w:val="24"/>
                <w:szCs w:val="24"/>
              </w:rPr>
              <w:t xml:space="preserve"> бойові дії або тимчасова окупація на відповідній території (у тому числі коли дата початку обстеження небезпечної території операторами протимінної діяльності настає після дати завершення бойових дій або тимчасової окупації на відповідній території) до останнього числа місяця, в якому такі земельні ділянки визн</w:t>
            </w:r>
            <w:r>
              <w:rPr>
                <w:sz w:val="24"/>
                <w:szCs w:val="24"/>
              </w:rPr>
              <w:t>ані придатними для використання;</w:t>
            </w:r>
          </w:p>
        </w:tc>
      </w:tr>
    </w:tbl>
    <w:p w:rsidR="00B033DA" w:rsidRDefault="00B033DA" w:rsidP="00EE36C7">
      <w:pPr>
        <w:ind w:firstLine="567"/>
        <w:rPr>
          <w:sz w:val="24"/>
          <w:szCs w:val="24"/>
        </w:rPr>
      </w:pPr>
    </w:p>
    <w:p w:rsidR="00B033DA" w:rsidRPr="003E03A8" w:rsidRDefault="00B033DA" w:rsidP="003E03A8">
      <w:pPr>
        <w:ind w:firstLine="567"/>
        <w:rPr>
          <w:b/>
          <w:szCs w:val="28"/>
        </w:rPr>
      </w:pPr>
      <w:r>
        <w:rPr>
          <w:b/>
          <w:szCs w:val="28"/>
        </w:rPr>
        <w:lastRenderedPageBreak/>
        <w:t>4</w:t>
      </w:r>
      <w:r w:rsidRPr="003E03A8">
        <w:rPr>
          <w:b/>
          <w:szCs w:val="28"/>
        </w:rPr>
        <w:t xml:space="preserve">) за земельні ділянки, непридатні для використання у зв’язку з потенційною загрозою їх забруднення вибухонебезпечними предметами:  </w:t>
      </w:r>
    </w:p>
    <w:p w:rsidR="00B033DA" w:rsidRDefault="00B033DA" w:rsidP="00EE36C7">
      <w:pPr>
        <w:ind w:firstLine="567"/>
        <w:rPr>
          <w:sz w:val="24"/>
          <w:szCs w:val="24"/>
        </w:rPr>
      </w:pPr>
    </w:p>
    <w:tbl>
      <w:tblPr>
        <w:tblW w:w="0" w:type="auto"/>
        <w:tblInd w:w="250" w:type="dxa"/>
        <w:tblLook w:val="00A0" w:firstRow="1" w:lastRow="0" w:firstColumn="1" w:lastColumn="0" w:noHBand="0" w:noVBand="0"/>
      </w:tblPr>
      <w:tblGrid>
        <w:gridCol w:w="2092"/>
        <w:gridCol w:w="7795"/>
      </w:tblGrid>
      <w:tr w:rsidR="00B033DA" w:rsidRPr="00141B0C" w:rsidTr="002D2AF6">
        <w:trPr>
          <w:trHeight w:val="2051"/>
        </w:trPr>
        <w:tc>
          <w:tcPr>
            <w:tcW w:w="2092" w:type="dxa"/>
          </w:tcPr>
          <w:p w:rsidR="00B033DA" w:rsidRPr="00141B0C" w:rsidRDefault="00B033DA" w:rsidP="00DF0FE4">
            <w:pPr>
              <w:jc w:val="left"/>
              <w:rPr>
                <w:b/>
                <w:sz w:val="24"/>
                <w:szCs w:val="24"/>
              </w:rPr>
            </w:pPr>
            <w:r>
              <w:rPr>
                <w:b/>
                <w:sz w:val="24"/>
                <w:szCs w:val="24"/>
              </w:rPr>
              <w:t>п</w:t>
            </w:r>
            <w:r w:rsidRPr="00141B0C">
              <w:rPr>
                <w:b/>
                <w:sz w:val="24"/>
                <w:szCs w:val="24"/>
              </w:rPr>
              <w:t>ідстава</w:t>
            </w:r>
            <w:r>
              <w:rPr>
                <w:b/>
                <w:sz w:val="24"/>
                <w:szCs w:val="24"/>
              </w:rPr>
              <w:t xml:space="preserve"> (наявність всіх перелічених складових)</w:t>
            </w:r>
            <w:r w:rsidRPr="00141B0C">
              <w:rPr>
                <w:b/>
                <w:sz w:val="24"/>
                <w:szCs w:val="24"/>
              </w:rPr>
              <w:t>:</w:t>
            </w:r>
          </w:p>
        </w:tc>
        <w:tc>
          <w:tcPr>
            <w:tcW w:w="7795" w:type="dxa"/>
          </w:tcPr>
          <w:p w:rsidR="00B033DA" w:rsidRPr="005F42F5" w:rsidRDefault="00B033DA" w:rsidP="005F42F5">
            <w:pPr>
              <w:rPr>
                <w:spacing w:val="-4"/>
                <w:sz w:val="24"/>
                <w:szCs w:val="24"/>
                <w:lang w:eastAsia="ru-RU"/>
              </w:rPr>
            </w:pPr>
            <w:r>
              <w:rPr>
                <w:sz w:val="24"/>
                <w:szCs w:val="24"/>
              </w:rPr>
              <w:t>- рішення сільської</w:t>
            </w:r>
            <w:r w:rsidRPr="00141B0C">
              <w:rPr>
                <w:sz w:val="24"/>
                <w:szCs w:val="24"/>
              </w:rPr>
              <w:t>,</w:t>
            </w:r>
            <w:r>
              <w:rPr>
                <w:sz w:val="24"/>
                <w:szCs w:val="24"/>
              </w:rPr>
              <w:t xml:space="preserve"> селищної міської ради,</w:t>
            </w:r>
            <w:r w:rsidRPr="00141B0C">
              <w:rPr>
                <w:sz w:val="24"/>
                <w:szCs w:val="24"/>
              </w:rPr>
              <w:t xml:space="preserve"> військової адміністрації або військово-цивільної адміністрації про </w:t>
            </w:r>
            <w:r>
              <w:rPr>
                <w:sz w:val="24"/>
                <w:szCs w:val="24"/>
              </w:rPr>
              <w:t xml:space="preserve">надання </w:t>
            </w:r>
            <w:r w:rsidRPr="00141B0C">
              <w:rPr>
                <w:sz w:val="24"/>
                <w:szCs w:val="24"/>
              </w:rPr>
              <w:t>податкових пільг зі</w:t>
            </w:r>
            <w:r>
              <w:rPr>
                <w:sz w:val="24"/>
                <w:szCs w:val="24"/>
              </w:rPr>
              <w:t xml:space="preserve"> сплати місцевих податків та зборів </w:t>
            </w:r>
            <w:r w:rsidRPr="005F42F5">
              <w:rPr>
                <w:sz w:val="24"/>
                <w:szCs w:val="24"/>
              </w:rPr>
              <w:t>на п</w:t>
            </w:r>
            <w:r>
              <w:rPr>
                <w:sz w:val="24"/>
                <w:szCs w:val="24"/>
              </w:rPr>
              <w:t>ідставі заяви платника податків;</w:t>
            </w:r>
          </w:p>
          <w:p w:rsidR="00B033DA" w:rsidRPr="00141B0C" w:rsidRDefault="00B033DA" w:rsidP="002D2AF6">
            <w:pPr>
              <w:ind w:left="34"/>
              <w:rPr>
                <w:sz w:val="24"/>
                <w:szCs w:val="24"/>
              </w:rPr>
            </w:pPr>
            <w:r w:rsidRPr="00141B0C">
              <w:rPr>
                <w:sz w:val="24"/>
                <w:szCs w:val="24"/>
              </w:rPr>
              <w:t>- заява платника до</w:t>
            </w:r>
            <w:r>
              <w:rPr>
                <w:sz w:val="24"/>
                <w:szCs w:val="24"/>
              </w:rPr>
              <w:t xml:space="preserve"> сільської</w:t>
            </w:r>
            <w:r w:rsidRPr="00141B0C">
              <w:rPr>
                <w:sz w:val="24"/>
                <w:szCs w:val="24"/>
              </w:rPr>
              <w:t>,</w:t>
            </w:r>
            <w:r>
              <w:rPr>
                <w:sz w:val="24"/>
                <w:szCs w:val="24"/>
              </w:rPr>
              <w:t xml:space="preserve"> селищної міської ради,</w:t>
            </w:r>
            <w:r w:rsidRPr="00141B0C">
              <w:rPr>
                <w:sz w:val="24"/>
                <w:szCs w:val="24"/>
              </w:rPr>
              <w:t xml:space="preserve"> військової адміністрації або ві</w:t>
            </w:r>
            <w:r>
              <w:rPr>
                <w:sz w:val="24"/>
                <w:szCs w:val="24"/>
              </w:rPr>
              <w:t xml:space="preserve">йськово-цивільної адміністрації, на підставі якої прийнято рішення </w:t>
            </w:r>
            <w:r w:rsidRPr="00141B0C">
              <w:rPr>
                <w:sz w:val="24"/>
                <w:szCs w:val="24"/>
              </w:rPr>
              <w:t xml:space="preserve">про </w:t>
            </w:r>
            <w:r>
              <w:rPr>
                <w:sz w:val="24"/>
                <w:szCs w:val="24"/>
              </w:rPr>
              <w:t xml:space="preserve">надання </w:t>
            </w:r>
            <w:r w:rsidRPr="00141B0C">
              <w:rPr>
                <w:sz w:val="24"/>
                <w:szCs w:val="24"/>
              </w:rPr>
              <w:t>податкових пільг зі сплати місцевих податків і зборів</w:t>
            </w:r>
            <w:r>
              <w:rPr>
                <w:sz w:val="24"/>
                <w:szCs w:val="24"/>
              </w:rPr>
              <w:t>;</w:t>
            </w:r>
          </w:p>
        </w:tc>
      </w:tr>
      <w:tr w:rsidR="00B033DA" w:rsidRPr="00141B0C" w:rsidTr="002C1321">
        <w:tc>
          <w:tcPr>
            <w:tcW w:w="2092" w:type="dxa"/>
          </w:tcPr>
          <w:p w:rsidR="00B033DA" w:rsidRPr="00D401B6" w:rsidRDefault="00B033DA" w:rsidP="00141B0C">
            <w:pPr>
              <w:jc w:val="left"/>
              <w:rPr>
                <w:b/>
                <w:spacing w:val="-4"/>
                <w:sz w:val="16"/>
                <w:szCs w:val="16"/>
                <w:lang w:eastAsia="ru-RU"/>
              </w:rPr>
            </w:pPr>
          </w:p>
          <w:p w:rsidR="00B033DA" w:rsidRPr="00141B0C" w:rsidRDefault="00B033DA" w:rsidP="00141B0C">
            <w:pPr>
              <w:jc w:val="left"/>
              <w:rPr>
                <w:b/>
                <w:sz w:val="24"/>
                <w:szCs w:val="24"/>
              </w:rPr>
            </w:pPr>
            <w:r w:rsidRPr="00141B0C">
              <w:rPr>
                <w:b/>
                <w:spacing w:val="-4"/>
                <w:sz w:val="24"/>
                <w:szCs w:val="24"/>
                <w:lang w:eastAsia="ru-RU"/>
              </w:rPr>
              <w:t>період звільнення:</w:t>
            </w:r>
          </w:p>
        </w:tc>
        <w:tc>
          <w:tcPr>
            <w:tcW w:w="7795" w:type="dxa"/>
          </w:tcPr>
          <w:p w:rsidR="00B033DA" w:rsidRPr="00D401B6" w:rsidRDefault="00B033DA" w:rsidP="00141B0C">
            <w:pPr>
              <w:ind w:left="34"/>
              <w:rPr>
                <w:sz w:val="16"/>
                <w:szCs w:val="16"/>
              </w:rPr>
            </w:pPr>
          </w:p>
          <w:p w:rsidR="00B033DA" w:rsidRPr="00141B0C" w:rsidRDefault="00B033DA" w:rsidP="00141B0C">
            <w:pPr>
              <w:ind w:left="34"/>
              <w:rPr>
                <w:sz w:val="24"/>
                <w:szCs w:val="24"/>
              </w:rPr>
            </w:pPr>
            <w:r w:rsidRPr="00141B0C">
              <w:rPr>
                <w:sz w:val="24"/>
                <w:szCs w:val="24"/>
              </w:rPr>
              <w:t>з першого числа місяця, на який припадає дата прийняття рішення, до останнього числа місяця, на який припадає дата, що наступає раніше:</w:t>
            </w:r>
          </w:p>
          <w:p w:rsidR="00B033DA" w:rsidRPr="00141B0C" w:rsidRDefault="00B033DA" w:rsidP="00141B0C">
            <w:pPr>
              <w:ind w:left="34"/>
              <w:rPr>
                <w:sz w:val="24"/>
                <w:szCs w:val="24"/>
              </w:rPr>
            </w:pPr>
            <w:r w:rsidRPr="00141B0C">
              <w:rPr>
                <w:sz w:val="24"/>
                <w:szCs w:val="24"/>
              </w:rPr>
              <w:t>– або останній день строку, на який надано пільгу зі сплати місцевих податків та/або зборів відповідно до прийнятого рішення (у тому числі з урахуванням змін, внесених до такого рішення);</w:t>
            </w:r>
          </w:p>
          <w:p w:rsidR="00B033DA" w:rsidRPr="00141B0C" w:rsidRDefault="00B033DA" w:rsidP="00141B0C">
            <w:pPr>
              <w:ind w:left="34"/>
              <w:rPr>
                <w:sz w:val="24"/>
                <w:szCs w:val="24"/>
              </w:rPr>
            </w:pPr>
            <w:r w:rsidRPr="00141B0C">
              <w:rPr>
                <w:sz w:val="24"/>
                <w:szCs w:val="24"/>
              </w:rPr>
              <w:t>–</w:t>
            </w:r>
            <w:r>
              <w:rPr>
                <w:sz w:val="24"/>
                <w:szCs w:val="24"/>
              </w:rPr>
              <w:t xml:space="preserve"> </w:t>
            </w:r>
            <w:r w:rsidRPr="00141B0C">
              <w:rPr>
                <w:sz w:val="24"/>
                <w:szCs w:val="24"/>
              </w:rPr>
              <w:t xml:space="preserve">або дата скасування відповідного рішення, </w:t>
            </w:r>
          </w:p>
          <w:p w:rsidR="00B033DA" w:rsidRPr="00141B0C" w:rsidRDefault="00B033DA" w:rsidP="00141B0C">
            <w:pPr>
              <w:pStyle w:val="a4"/>
              <w:numPr>
                <w:ilvl w:val="0"/>
                <w:numId w:val="2"/>
              </w:numPr>
              <w:tabs>
                <w:tab w:val="left" w:pos="318"/>
              </w:tabs>
              <w:ind w:left="34" w:firstLine="0"/>
              <w:rPr>
                <w:sz w:val="24"/>
                <w:szCs w:val="24"/>
              </w:rPr>
            </w:pPr>
            <w:r w:rsidRPr="00141B0C">
              <w:rPr>
                <w:sz w:val="24"/>
                <w:szCs w:val="24"/>
              </w:rPr>
              <w:t xml:space="preserve">або дата початку обстеження земельної ділянки операторами протимінної діяльності, </w:t>
            </w:r>
          </w:p>
          <w:p w:rsidR="00B033DA" w:rsidRPr="00141B0C" w:rsidRDefault="00B033DA" w:rsidP="00141B0C">
            <w:pPr>
              <w:pStyle w:val="a4"/>
              <w:numPr>
                <w:ilvl w:val="0"/>
                <w:numId w:val="2"/>
              </w:numPr>
              <w:tabs>
                <w:tab w:val="left" w:pos="318"/>
              </w:tabs>
              <w:ind w:left="34" w:firstLine="0"/>
              <w:rPr>
                <w:sz w:val="24"/>
                <w:szCs w:val="24"/>
              </w:rPr>
            </w:pPr>
            <w:r w:rsidRPr="00141B0C">
              <w:rPr>
                <w:sz w:val="24"/>
                <w:szCs w:val="24"/>
              </w:rPr>
              <w:t>або визнання земельної ділянки придатною для використання.</w:t>
            </w:r>
          </w:p>
        </w:tc>
      </w:tr>
    </w:tbl>
    <w:p w:rsidR="00B033DA" w:rsidRDefault="00B033DA" w:rsidP="00EE36C7">
      <w:pPr>
        <w:ind w:firstLine="567"/>
        <w:rPr>
          <w:highlight w:val="cyan"/>
        </w:rPr>
      </w:pPr>
    </w:p>
    <w:p w:rsidR="00B033DA" w:rsidRPr="00294F87" w:rsidRDefault="00B033DA" w:rsidP="00EE36C7">
      <w:pPr>
        <w:ind w:firstLine="567"/>
      </w:pPr>
      <w:r w:rsidRPr="00EE36C7">
        <w:t>На рішення, прийняті на підставі заяв платників податків пр</w:t>
      </w:r>
      <w:r>
        <w:t>о визнання земельних ділянок не</w:t>
      </w:r>
      <w:r w:rsidRPr="00EE36C7">
        <w:t xml:space="preserve">придатними для використання у зв’язку з потенційною загрозою їх засмічення вибухонебезпечними предметами, не поширюються вимоги щодо заборони </w:t>
      </w:r>
      <w:r w:rsidR="006F495F">
        <w:t xml:space="preserve">встановлення або прийняття рішень про встановлення </w:t>
      </w:r>
      <w:r w:rsidRPr="00294F87">
        <w:t>пільг (</w:t>
      </w:r>
      <w:r w:rsidR="00E06A96" w:rsidRPr="00294F87">
        <w:t>відповідно до змін внесених до</w:t>
      </w:r>
      <w:r w:rsidRPr="00294F87">
        <w:t xml:space="preserve"> п.п. 12.3.7 п. 12.3 ст. 12 Кодексу).</w:t>
      </w:r>
    </w:p>
    <w:p w:rsidR="00B033DA" w:rsidRDefault="00B033DA" w:rsidP="00EE36C7">
      <w:pPr>
        <w:ind w:firstLine="567"/>
        <w:rPr>
          <w:highlight w:val="cyan"/>
        </w:rPr>
      </w:pPr>
    </w:p>
    <w:p w:rsidR="00B033DA" w:rsidRDefault="00B033DA" w:rsidP="00EE36C7">
      <w:pPr>
        <w:widowControl w:val="0"/>
        <w:ind w:firstLine="567"/>
      </w:pPr>
      <w:r>
        <w:t xml:space="preserve">Закон № 3050 визначає можливість </w:t>
      </w:r>
      <w:r w:rsidRPr="00EE36C7">
        <w:rPr>
          <w:b/>
        </w:rPr>
        <w:t>уточнення податкових зобов’язань</w:t>
      </w:r>
      <w:r>
        <w:rPr>
          <w:b/>
        </w:rPr>
        <w:t xml:space="preserve"> </w:t>
      </w:r>
      <w:r>
        <w:t>по є</w:t>
      </w:r>
      <w:r w:rsidRPr="00C86832">
        <w:t xml:space="preserve">диному податку </w:t>
      </w:r>
      <w:r>
        <w:t xml:space="preserve">четвертої групи, </w:t>
      </w:r>
      <w:r w:rsidRPr="004745FC">
        <w:rPr>
          <w:b/>
        </w:rPr>
        <w:t>задекларованих до набрання чинності Законом № 3050</w:t>
      </w:r>
      <w:r w:rsidRPr="004745FC">
        <w:t xml:space="preserve">, </w:t>
      </w:r>
      <w:r>
        <w:t>шляхом подання уточнюючих розрахунків до раніше поданих податкових декларацій платниками єдиного податку четвертої групи (юридичні особи) за 2022 рік та 2023 рік:</w:t>
      </w:r>
    </w:p>
    <w:p w:rsidR="00B033DA" w:rsidRDefault="00B033DA" w:rsidP="00EA4F19">
      <w:pPr>
        <w:widowControl w:val="0"/>
        <w:ind w:firstLine="56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63"/>
        <w:gridCol w:w="4557"/>
        <w:gridCol w:w="3379"/>
      </w:tblGrid>
      <w:tr w:rsidR="00B033DA" w:rsidRPr="00141B0C" w:rsidTr="002D2AF6">
        <w:trPr>
          <w:trHeight w:val="720"/>
        </w:trPr>
        <w:tc>
          <w:tcPr>
            <w:tcW w:w="1822" w:type="dxa"/>
            <w:gridSpan w:val="2"/>
            <w:vAlign w:val="center"/>
          </w:tcPr>
          <w:p w:rsidR="00B033DA" w:rsidRPr="00141B0C" w:rsidRDefault="00B033DA" w:rsidP="00141B0C">
            <w:pPr>
              <w:widowControl w:val="0"/>
              <w:jc w:val="center"/>
              <w:rPr>
                <w:sz w:val="24"/>
                <w:szCs w:val="24"/>
              </w:rPr>
            </w:pPr>
            <w:r w:rsidRPr="00141B0C">
              <w:rPr>
                <w:sz w:val="24"/>
                <w:szCs w:val="24"/>
              </w:rPr>
              <w:t>Податок</w:t>
            </w:r>
          </w:p>
        </w:tc>
        <w:tc>
          <w:tcPr>
            <w:tcW w:w="4557" w:type="dxa"/>
            <w:vAlign w:val="center"/>
          </w:tcPr>
          <w:p w:rsidR="00B033DA" w:rsidRPr="00141B0C" w:rsidRDefault="00B033DA" w:rsidP="00141B0C">
            <w:pPr>
              <w:widowControl w:val="0"/>
              <w:jc w:val="center"/>
              <w:rPr>
                <w:sz w:val="24"/>
                <w:szCs w:val="24"/>
              </w:rPr>
            </w:pPr>
            <w:r w:rsidRPr="00141B0C">
              <w:rPr>
                <w:sz w:val="24"/>
                <w:szCs w:val="24"/>
                <w:lang w:val="ru-RU"/>
              </w:rPr>
              <w:t>З</w:t>
            </w:r>
            <w:r w:rsidRPr="00141B0C">
              <w:rPr>
                <w:sz w:val="24"/>
                <w:szCs w:val="24"/>
              </w:rPr>
              <w:t>обов’язання, що уточнюються/коригуються</w:t>
            </w:r>
          </w:p>
        </w:tc>
        <w:tc>
          <w:tcPr>
            <w:tcW w:w="3379" w:type="dxa"/>
            <w:vAlign w:val="center"/>
          </w:tcPr>
          <w:p w:rsidR="00B033DA" w:rsidRPr="00141B0C" w:rsidRDefault="00B033DA" w:rsidP="00141B0C">
            <w:pPr>
              <w:widowControl w:val="0"/>
              <w:jc w:val="center"/>
              <w:rPr>
                <w:sz w:val="24"/>
                <w:szCs w:val="24"/>
              </w:rPr>
            </w:pPr>
            <w:r w:rsidRPr="00141B0C">
              <w:rPr>
                <w:sz w:val="24"/>
                <w:szCs w:val="24"/>
              </w:rPr>
              <w:t>Період, за який можливе коригування</w:t>
            </w:r>
          </w:p>
        </w:tc>
      </w:tr>
      <w:tr w:rsidR="00B033DA" w:rsidRPr="00141B0C" w:rsidTr="00DE4AF3">
        <w:trPr>
          <w:trHeight w:val="720"/>
        </w:trPr>
        <w:tc>
          <w:tcPr>
            <w:tcW w:w="9758" w:type="dxa"/>
            <w:gridSpan w:val="4"/>
            <w:vAlign w:val="center"/>
          </w:tcPr>
          <w:p w:rsidR="00B033DA" w:rsidRPr="00141B0C" w:rsidRDefault="00B033DA" w:rsidP="00141B0C">
            <w:pPr>
              <w:widowControl w:val="0"/>
              <w:jc w:val="center"/>
              <w:rPr>
                <w:b/>
                <w:sz w:val="24"/>
                <w:szCs w:val="24"/>
                <w:u w:val="single"/>
              </w:rPr>
            </w:pPr>
            <w:r w:rsidRPr="00141B0C">
              <w:rPr>
                <w:b/>
                <w:sz w:val="24"/>
                <w:szCs w:val="24"/>
                <w:u w:val="single"/>
              </w:rPr>
              <w:t xml:space="preserve">За земельні ділянки,що розташовані на </w:t>
            </w:r>
            <w:r w:rsidRPr="00395906">
              <w:rPr>
                <w:b/>
                <w:sz w:val="24"/>
                <w:szCs w:val="24"/>
                <w:u w:val="single"/>
              </w:rPr>
              <w:t>територіях активних бойових дій (які не завершені до 1 травня 2022 року)  або на тимчасово окупованих російською федерацією територіях України, включених до Переліку</w:t>
            </w:r>
            <w:r w:rsidRPr="00141B0C">
              <w:rPr>
                <w:b/>
                <w:sz w:val="24"/>
                <w:szCs w:val="24"/>
                <w:u w:val="single"/>
              </w:rPr>
              <w:t xml:space="preserve"> територій</w:t>
            </w:r>
          </w:p>
        </w:tc>
      </w:tr>
      <w:tr w:rsidR="00B033DA" w:rsidRPr="00141B0C" w:rsidTr="002D2AF6">
        <w:tc>
          <w:tcPr>
            <w:tcW w:w="1559" w:type="dxa"/>
          </w:tcPr>
          <w:p w:rsidR="00B033DA" w:rsidRPr="00141B0C" w:rsidRDefault="00B033DA" w:rsidP="00141B0C">
            <w:pPr>
              <w:widowControl w:val="0"/>
              <w:rPr>
                <w:b/>
                <w:sz w:val="24"/>
                <w:szCs w:val="24"/>
              </w:rPr>
            </w:pPr>
            <w:r w:rsidRPr="00141B0C">
              <w:rPr>
                <w:b/>
                <w:sz w:val="24"/>
                <w:szCs w:val="24"/>
              </w:rPr>
              <w:t xml:space="preserve">Єдиний податок четвертої групи </w:t>
            </w:r>
            <w:r w:rsidRPr="00141B0C">
              <w:rPr>
                <w:sz w:val="24"/>
                <w:szCs w:val="24"/>
              </w:rPr>
              <w:t>(юридичні особи)</w:t>
            </w:r>
          </w:p>
        </w:tc>
        <w:tc>
          <w:tcPr>
            <w:tcW w:w="4820" w:type="dxa"/>
            <w:gridSpan w:val="2"/>
          </w:tcPr>
          <w:p w:rsidR="00B033DA" w:rsidRPr="00141B0C" w:rsidRDefault="00B033DA" w:rsidP="00141B0C">
            <w:pPr>
              <w:widowControl w:val="0"/>
              <w:rPr>
                <w:sz w:val="24"/>
                <w:szCs w:val="24"/>
              </w:rPr>
            </w:pPr>
            <w:r w:rsidRPr="00141B0C">
              <w:rPr>
                <w:sz w:val="24"/>
                <w:szCs w:val="24"/>
              </w:rPr>
              <w:t xml:space="preserve">задекларовані за 2022 та/або 2023 роки податкові зобов’язання з єдиного податку четвертої групи </w:t>
            </w:r>
          </w:p>
        </w:tc>
        <w:tc>
          <w:tcPr>
            <w:tcW w:w="3379" w:type="dxa"/>
          </w:tcPr>
          <w:p w:rsidR="00B033DA" w:rsidRPr="00294F87" w:rsidRDefault="00B033DA" w:rsidP="00141B0C">
            <w:pPr>
              <w:widowControl w:val="0"/>
              <w:rPr>
                <w:sz w:val="24"/>
                <w:szCs w:val="24"/>
              </w:rPr>
            </w:pPr>
            <w:r w:rsidRPr="00DE4AF3">
              <w:rPr>
                <w:sz w:val="24"/>
                <w:szCs w:val="24"/>
                <w:u w:val="single"/>
              </w:rPr>
              <w:t>у 2022 році</w:t>
            </w:r>
            <w:r>
              <w:rPr>
                <w:sz w:val="24"/>
                <w:szCs w:val="24"/>
              </w:rPr>
              <w:t xml:space="preserve">: </w:t>
            </w:r>
            <w:r w:rsidRPr="00141B0C">
              <w:rPr>
                <w:sz w:val="24"/>
                <w:szCs w:val="24"/>
              </w:rPr>
              <w:t xml:space="preserve">за період </w:t>
            </w:r>
            <w:r>
              <w:rPr>
                <w:sz w:val="24"/>
                <w:szCs w:val="24"/>
              </w:rPr>
              <w:t xml:space="preserve">з 1 березня до дати завершення на територіях, визначених наказом № 309, активних бойових дій або тимчасової окупації російською федерацією </w:t>
            </w:r>
            <w:r w:rsidRPr="00DE4AF3">
              <w:rPr>
                <w:sz w:val="24"/>
                <w:szCs w:val="24"/>
              </w:rPr>
              <w:t xml:space="preserve">(крім територій, на яких ведення активних бойових дій або тимчасової окупації російською федерацією завершені до 1 </w:t>
            </w:r>
            <w:r w:rsidRPr="00DE4AF3">
              <w:rPr>
                <w:sz w:val="24"/>
                <w:szCs w:val="24"/>
              </w:rPr>
              <w:lastRenderedPageBreak/>
              <w:t xml:space="preserve">травня 2022 </w:t>
            </w:r>
            <w:r w:rsidRPr="00294F87">
              <w:rPr>
                <w:sz w:val="24"/>
                <w:szCs w:val="24"/>
              </w:rPr>
              <w:t>року</w:t>
            </w:r>
            <w:r w:rsidR="00E11EBC" w:rsidRPr="00294F87">
              <w:rPr>
                <w:sz w:val="24"/>
                <w:szCs w:val="24"/>
              </w:rPr>
              <w:t>, оскільки на них не поширюється дія підпункту 69.33 пункту 69 підрозділу 10 розділу ХХ</w:t>
            </w:r>
            <w:r w:rsidR="00294F87" w:rsidRPr="00693580">
              <w:rPr>
                <w:sz w:val="24"/>
                <w:szCs w:val="24"/>
              </w:rPr>
              <w:t xml:space="preserve"> </w:t>
            </w:r>
            <w:r w:rsidR="00E11EBC" w:rsidRPr="00294F87">
              <w:rPr>
                <w:sz w:val="24"/>
                <w:szCs w:val="24"/>
              </w:rPr>
              <w:t>«Перехідні положення»</w:t>
            </w:r>
            <w:r w:rsidRPr="00294F87">
              <w:rPr>
                <w:sz w:val="24"/>
                <w:szCs w:val="24"/>
              </w:rPr>
              <w:t>);</w:t>
            </w:r>
          </w:p>
          <w:p w:rsidR="00B033DA" w:rsidRPr="00DE4AF3" w:rsidRDefault="00B033DA" w:rsidP="00141B0C">
            <w:pPr>
              <w:widowControl w:val="0"/>
              <w:rPr>
                <w:sz w:val="24"/>
                <w:szCs w:val="24"/>
                <w:lang w:val="ru-RU"/>
              </w:rPr>
            </w:pPr>
            <w:r w:rsidRPr="00DE4AF3">
              <w:rPr>
                <w:sz w:val="24"/>
                <w:szCs w:val="24"/>
                <w:u w:val="single"/>
              </w:rPr>
              <w:t>у 2023 році:</w:t>
            </w:r>
            <w:r>
              <w:rPr>
                <w:sz w:val="24"/>
                <w:szCs w:val="24"/>
                <w:u w:val="single"/>
              </w:rPr>
              <w:t xml:space="preserve"> </w:t>
            </w:r>
            <w:r w:rsidRPr="00141B0C">
              <w:rPr>
                <w:sz w:val="24"/>
                <w:szCs w:val="24"/>
              </w:rPr>
              <w:t xml:space="preserve">за період </w:t>
            </w:r>
            <w:r>
              <w:rPr>
                <w:sz w:val="24"/>
                <w:szCs w:val="24"/>
              </w:rPr>
              <w:t>з          1 січня до дати завершення на територіях, визначених наказом № 309, активних бойових дій або тимчасової окупації російською федерацією</w:t>
            </w:r>
            <w:r>
              <w:rPr>
                <w:sz w:val="24"/>
                <w:szCs w:val="24"/>
                <w:lang w:val="ru-RU"/>
              </w:rPr>
              <w:t>;</w:t>
            </w:r>
          </w:p>
        </w:tc>
      </w:tr>
      <w:tr w:rsidR="00B033DA" w:rsidRPr="00141B0C" w:rsidTr="002D2AF6">
        <w:tc>
          <w:tcPr>
            <w:tcW w:w="1559" w:type="dxa"/>
          </w:tcPr>
          <w:p w:rsidR="00B033DA" w:rsidRPr="00141B0C" w:rsidRDefault="00B033DA" w:rsidP="00141B0C">
            <w:pPr>
              <w:widowControl w:val="0"/>
              <w:rPr>
                <w:sz w:val="24"/>
                <w:szCs w:val="24"/>
              </w:rPr>
            </w:pPr>
          </w:p>
        </w:tc>
        <w:tc>
          <w:tcPr>
            <w:tcW w:w="4820" w:type="dxa"/>
            <w:gridSpan w:val="2"/>
          </w:tcPr>
          <w:p w:rsidR="00B033DA" w:rsidRPr="00141B0C" w:rsidRDefault="00B033DA" w:rsidP="00141B0C">
            <w:pPr>
              <w:widowControl w:val="0"/>
              <w:rPr>
                <w:sz w:val="24"/>
                <w:szCs w:val="24"/>
              </w:rPr>
            </w:pPr>
            <w:r w:rsidRPr="00141B0C">
              <w:rPr>
                <w:sz w:val="24"/>
                <w:szCs w:val="24"/>
              </w:rPr>
              <w:t>За 2023 рік податкові зобов’язання уточнюються відповідно до періодів початку та з</w:t>
            </w:r>
            <w:r>
              <w:rPr>
                <w:sz w:val="24"/>
                <w:szCs w:val="24"/>
              </w:rPr>
              <w:t>а</w:t>
            </w:r>
            <w:r w:rsidRPr="00141B0C">
              <w:rPr>
                <w:sz w:val="24"/>
                <w:szCs w:val="24"/>
              </w:rPr>
              <w:t>вершення на відповідних територіях активних бойових дій або тимчасової окупації.</w:t>
            </w:r>
          </w:p>
        </w:tc>
        <w:tc>
          <w:tcPr>
            <w:tcW w:w="3379" w:type="dxa"/>
          </w:tcPr>
          <w:p w:rsidR="00B033DA" w:rsidRPr="00141B0C" w:rsidRDefault="00B033DA" w:rsidP="00141B0C">
            <w:pPr>
              <w:widowControl w:val="0"/>
              <w:rPr>
                <w:sz w:val="24"/>
                <w:szCs w:val="24"/>
              </w:rPr>
            </w:pPr>
          </w:p>
        </w:tc>
      </w:tr>
      <w:tr w:rsidR="00B033DA" w:rsidRPr="00141B0C" w:rsidTr="00DE4AF3">
        <w:tc>
          <w:tcPr>
            <w:tcW w:w="9758" w:type="dxa"/>
            <w:gridSpan w:val="4"/>
          </w:tcPr>
          <w:p w:rsidR="00B033DA" w:rsidRPr="00395906" w:rsidRDefault="00B033DA" w:rsidP="00141B0C">
            <w:pPr>
              <w:widowControl w:val="0"/>
              <w:jc w:val="center"/>
              <w:rPr>
                <w:b/>
                <w:sz w:val="24"/>
                <w:szCs w:val="24"/>
                <w:u w:val="single"/>
              </w:rPr>
            </w:pPr>
            <w:r w:rsidRPr="00395906">
              <w:rPr>
                <w:sz w:val="24"/>
                <w:szCs w:val="24"/>
              </w:rPr>
              <w:tab/>
            </w:r>
            <w:r w:rsidRPr="00395906">
              <w:rPr>
                <w:b/>
                <w:sz w:val="24"/>
                <w:szCs w:val="24"/>
                <w:u w:val="single"/>
              </w:rPr>
              <w:t>За земельні ділянки, розташовані на територіях,що не залежать від Переліку територій</w:t>
            </w:r>
          </w:p>
        </w:tc>
      </w:tr>
      <w:tr w:rsidR="00B033DA" w:rsidRPr="00141B0C" w:rsidTr="002D2AF6">
        <w:tc>
          <w:tcPr>
            <w:tcW w:w="1822" w:type="dxa"/>
            <w:gridSpan w:val="2"/>
          </w:tcPr>
          <w:p w:rsidR="00B033DA" w:rsidRPr="00141B0C" w:rsidRDefault="00B033DA" w:rsidP="00141B0C">
            <w:pPr>
              <w:widowControl w:val="0"/>
              <w:rPr>
                <w:b/>
                <w:sz w:val="24"/>
                <w:szCs w:val="24"/>
              </w:rPr>
            </w:pPr>
            <w:r w:rsidRPr="00141B0C">
              <w:rPr>
                <w:b/>
                <w:sz w:val="24"/>
                <w:szCs w:val="24"/>
              </w:rPr>
              <w:t xml:space="preserve">Єдиний податок четвертої групи </w:t>
            </w:r>
            <w:r w:rsidRPr="00141B0C">
              <w:rPr>
                <w:sz w:val="24"/>
                <w:szCs w:val="24"/>
              </w:rPr>
              <w:t>(юридичні особи)</w:t>
            </w:r>
          </w:p>
        </w:tc>
        <w:tc>
          <w:tcPr>
            <w:tcW w:w="4557" w:type="dxa"/>
          </w:tcPr>
          <w:p w:rsidR="00B033DA" w:rsidRPr="00395906" w:rsidRDefault="00B033DA" w:rsidP="00141B0C">
            <w:pPr>
              <w:widowControl w:val="0"/>
              <w:rPr>
                <w:sz w:val="24"/>
                <w:szCs w:val="24"/>
              </w:rPr>
            </w:pPr>
            <w:r w:rsidRPr="00395906">
              <w:rPr>
                <w:sz w:val="24"/>
                <w:szCs w:val="24"/>
              </w:rPr>
              <w:t>задекларовані за відповідні минулі податкові (звітні) періоди податкові зобов’язання з єдиного податку четвертої групи з площ земельних ділянок, які визнані такими, що перебувають у консервації та/або забруднені вибухонебезпечними предметами</w:t>
            </w:r>
          </w:p>
        </w:tc>
        <w:tc>
          <w:tcPr>
            <w:tcW w:w="3379" w:type="dxa"/>
          </w:tcPr>
          <w:p w:rsidR="00B033DA" w:rsidRPr="00395906" w:rsidRDefault="00B033DA" w:rsidP="00141B0C">
            <w:pPr>
              <w:widowControl w:val="0"/>
              <w:rPr>
                <w:sz w:val="24"/>
                <w:szCs w:val="24"/>
              </w:rPr>
            </w:pPr>
            <w:r w:rsidRPr="00395906">
              <w:rPr>
                <w:sz w:val="24"/>
                <w:szCs w:val="24"/>
              </w:rPr>
              <w:t>за період перебування земельних ділянок у консервації;</w:t>
            </w:r>
          </w:p>
          <w:p w:rsidR="00B033DA" w:rsidRPr="00395906" w:rsidRDefault="00B033DA" w:rsidP="00141B0C">
            <w:pPr>
              <w:widowControl w:val="0"/>
              <w:rPr>
                <w:sz w:val="24"/>
                <w:szCs w:val="24"/>
              </w:rPr>
            </w:pPr>
            <w:r w:rsidRPr="00395906">
              <w:rPr>
                <w:sz w:val="24"/>
                <w:szCs w:val="24"/>
              </w:rPr>
              <w:t>за період, коли земельні ділянки були забруднені вибухонебезпечними предметами</w:t>
            </w:r>
          </w:p>
        </w:tc>
      </w:tr>
    </w:tbl>
    <w:p w:rsidR="00B033DA" w:rsidRPr="000245E5" w:rsidRDefault="00B033DA" w:rsidP="000245E5">
      <w:pPr>
        <w:spacing w:after="120"/>
        <w:ind w:firstLine="709"/>
        <w:rPr>
          <w:szCs w:val="28"/>
        </w:rPr>
      </w:pPr>
      <w:r w:rsidRPr="000245E5">
        <w:rPr>
          <w:szCs w:val="28"/>
        </w:rPr>
        <w:t>У разі якщо єдиний податок четвертої груп</w:t>
      </w:r>
      <w:r w:rsidR="00E11EBC">
        <w:rPr>
          <w:szCs w:val="28"/>
        </w:rPr>
        <w:t>и, визначений абзацом першим п.п. </w:t>
      </w:r>
      <w:r w:rsidRPr="000245E5">
        <w:rPr>
          <w:szCs w:val="28"/>
        </w:rPr>
        <w:t>69.33</w:t>
      </w:r>
      <w:r>
        <w:rPr>
          <w:szCs w:val="28"/>
        </w:rPr>
        <w:t xml:space="preserve"> </w:t>
      </w:r>
      <w:r w:rsidRPr="000245E5">
        <w:rPr>
          <w:rFonts w:ascii="TimesNewRomanPSMT" w:hAnsi="TimesNewRomanPSMT" w:cs="TimesNewRomanPSMT"/>
          <w:szCs w:val="28"/>
        </w:rPr>
        <w:t>п. 69 підрозд. 10 розд. ХХ «Перехідні положення»  Кодексу</w:t>
      </w:r>
      <w:r>
        <w:rPr>
          <w:rFonts w:ascii="TimesNewRomanPSMT" w:hAnsi="TimesNewRomanPSMT" w:cs="TimesNewRomanPSMT"/>
          <w:szCs w:val="28"/>
        </w:rPr>
        <w:t xml:space="preserve"> </w:t>
      </w:r>
      <w:r w:rsidRPr="000245E5">
        <w:rPr>
          <w:szCs w:val="28"/>
        </w:rPr>
        <w:t>нараховано, але не сплачено та не відкориговано платником податків шляхом подання уточнюючих податкових декларацій за відповідний період, то визначені податкові зобов’язання не вважаються податковим боргом та підлягають анулюванню.</w:t>
      </w:r>
    </w:p>
    <w:p w:rsidR="00B033DA" w:rsidRDefault="00B033DA" w:rsidP="00A06042">
      <w:pPr>
        <w:tabs>
          <w:tab w:val="left" w:pos="5580"/>
        </w:tabs>
        <w:ind w:firstLineChars="202" w:firstLine="568"/>
      </w:pPr>
      <w:r w:rsidRPr="00603581">
        <w:rPr>
          <w:b/>
          <w:i/>
        </w:rPr>
        <w:t>Застосування штрафних санкцій та нарахування пені</w:t>
      </w:r>
      <w:r>
        <w:rPr>
          <w:b/>
          <w:i/>
        </w:rPr>
        <w:t>:</w:t>
      </w:r>
    </w:p>
    <w:p w:rsidR="00B033DA" w:rsidRDefault="00B033DA" w:rsidP="005F42F5">
      <w:pPr>
        <w:tabs>
          <w:tab w:val="left" w:pos="5580"/>
        </w:tabs>
        <w:ind w:firstLineChars="202" w:firstLine="558"/>
        <w:rPr>
          <w:spacing w:val="-4"/>
        </w:rPr>
      </w:pPr>
      <w:r w:rsidRPr="00EA4F19">
        <w:rPr>
          <w:spacing w:val="-4"/>
        </w:rPr>
        <w:t>Порядок виконання у період воєнного стану платником свого обов’язку, зокрема, щодо дотримання термінів сплати податків та зборів, подання звітності встановлено п.п.</w:t>
      </w:r>
      <w:r>
        <w:rPr>
          <w:spacing w:val="-4"/>
        </w:rPr>
        <w:t> </w:t>
      </w:r>
      <w:r w:rsidRPr="00EA4F19">
        <w:rPr>
          <w:spacing w:val="-4"/>
        </w:rPr>
        <w:t>69.1 п. 69 підрозд. 10 розд. ХХ «Перехідні положення» Кодексу  (далі – п.п. 69.1).</w:t>
      </w:r>
    </w:p>
    <w:p w:rsidR="00B033DA" w:rsidRPr="00DE5CC0" w:rsidRDefault="00B033DA" w:rsidP="005F42F5">
      <w:pPr>
        <w:tabs>
          <w:tab w:val="left" w:pos="5580"/>
        </w:tabs>
        <w:ind w:firstLineChars="202" w:firstLine="566"/>
        <w:rPr>
          <w:szCs w:val="28"/>
        </w:rPr>
      </w:pPr>
      <w:r w:rsidRPr="00EA4F19">
        <w:t>Відповідно до  абзацу 14 п.п.69.1 у разі самостійного виправлення платником податків, з дотриманням порядку, вимог та обмежень, визначених ст.</w:t>
      </w:r>
      <w:r>
        <w:t> </w:t>
      </w:r>
      <w:r w:rsidRPr="00EA4F19">
        <w:t xml:space="preserve">50 Кодексу, помилок, що призвели до заниження податкового зобов’язання у звітних (податкових) періодах, що </w:t>
      </w:r>
      <w:r w:rsidRPr="00DE5CC0">
        <w:t>припадають на період дії воєнного стану, такі платники звільняються від нарахування та сплати</w:t>
      </w:r>
      <w:r w:rsidRPr="00DE5CC0">
        <w:rPr>
          <w:szCs w:val="28"/>
        </w:rPr>
        <w:t xml:space="preserve"> штрафних санкцій, передбачених п. 50.1 ст. 50 Кодексу, та пені.</w:t>
      </w:r>
    </w:p>
    <w:p w:rsidR="00B033DA" w:rsidRPr="00DE5CC0" w:rsidRDefault="00B033DA" w:rsidP="00EA4F19">
      <w:pPr>
        <w:widowControl w:val="0"/>
        <w:ind w:firstLine="567"/>
        <w:rPr>
          <w:b/>
        </w:rPr>
      </w:pPr>
      <w:r w:rsidRPr="00EA4F19">
        <w:t xml:space="preserve">Тобто </w:t>
      </w:r>
      <w:r w:rsidRPr="00DE5CC0">
        <w:rPr>
          <w:b/>
        </w:rPr>
        <w:t xml:space="preserve">платники </w:t>
      </w:r>
      <w:r>
        <w:rPr>
          <w:b/>
        </w:rPr>
        <w:t>єдиного податку четвертої групи</w:t>
      </w:r>
      <w:r w:rsidRPr="00EA4F19">
        <w:t xml:space="preserve">, які надаватимуть до контролюючих органів </w:t>
      </w:r>
      <w:r w:rsidRPr="00DE5CC0">
        <w:rPr>
          <w:b/>
        </w:rPr>
        <w:t>уточнюючі податкові декларації за звітні (податкові) періоди, що припадають на</w:t>
      </w:r>
      <w:r>
        <w:rPr>
          <w:b/>
        </w:rPr>
        <w:t xml:space="preserve"> </w:t>
      </w:r>
      <w:r w:rsidRPr="00DE5CC0">
        <w:rPr>
          <w:b/>
        </w:rPr>
        <w:t>період дії воєнного стану</w:t>
      </w:r>
      <w:r w:rsidRPr="00EA4F19">
        <w:t xml:space="preserve">, </w:t>
      </w:r>
      <w:r w:rsidRPr="00DE5CC0">
        <w:rPr>
          <w:b/>
        </w:rPr>
        <w:t>не нарахову</w:t>
      </w:r>
      <w:r>
        <w:rPr>
          <w:b/>
        </w:rPr>
        <w:t>ють</w:t>
      </w:r>
      <w:r w:rsidRPr="00DE5CC0">
        <w:rPr>
          <w:b/>
        </w:rPr>
        <w:t xml:space="preserve"> штрафні санкції та пеню.</w:t>
      </w:r>
    </w:p>
    <w:p w:rsidR="00B033DA" w:rsidRDefault="00B033DA" w:rsidP="00022D81">
      <w:pPr>
        <w:shd w:val="clear" w:color="auto" w:fill="FFFFFF"/>
        <w:spacing w:line="235" w:lineRule="auto"/>
        <w:ind w:firstLine="567"/>
        <w:rPr>
          <w:szCs w:val="28"/>
        </w:rPr>
      </w:pPr>
      <w:r w:rsidRPr="009A0E07">
        <w:rPr>
          <w:b/>
          <w:spacing w:val="-4"/>
          <w:szCs w:val="28"/>
          <w:lang w:eastAsia="ru-RU"/>
        </w:rPr>
        <w:t>Зауважимо,</w:t>
      </w:r>
      <w:r w:rsidRPr="009A0E07">
        <w:rPr>
          <w:spacing w:val="-4"/>
          <w:szCs w:val="28"/>
          <w:lang w:eastAsia="ru-RU"/>
        </w:rPr>
        <w:t xml:space="preserve"> що Законом № 3050 </w:t>
      </w:r>
      <w:r w:rsidRPr="009A0E07">
        <w:rPr>
          <w:szCs w:val="28"/>
        </w:rPr>
        <w:t xml:space="preserve">підрозд. 8 </w:t>
      </w:r>
      <w:r w:rsidRPr="009A0E07">
        <w:rPr>
          <w:spacing w:val="-4"/>
        </w:rPr>
        <w:t xml:space="preserve">розд. ХХ «Перехідні положення» Кодексу  </w:t>
      </w:r>
      <w:r w:rsidRPr="009A0E07">
        <w:rPr>
          <w:szCs w:val="28"/>
        </w:rPr>
        <w:t xml:space="preserve">доповнено п. 10, який визначає окремі особливості застосування  </w:t>
      </w:r>
      <w:r w:rsidRPr="009A0E07">
        <w:rPr>
          <w:szCs w:val="28"/>
        </w:rPr>
        <w:lastRenderedPageBreak/>
        <w:t>положень  п.п. «а» п.п. 4 п. 291.4, п.п. 291.5</w:t>
      </w:r>
      <w:r w:rsidRPr="009A0E07">
        <w:rPr>
          <w:szCs w:val="28"/>
          <w:vertAlign w:val="superscript"/>
        </w:rPr>
        <w:t>1</w:t>
      </w:r>
      <w:r w:rsidRPr="009A0E07">
        <w:rPr>
          <w:szCs w:val="28"/>
        </w:rPr>
        <w:t>.3 п. 291.5</w:t>
      </w:r>
      <w:r w:rsidRPr="009A0E07">
        <w:rPr>
          <w:szCs w:val="28"/>
          <w:vertAlign w:val="superscript"/>
        </w:rPr>
        <w:t>1</w:t>
      </w:r>
      <w:r w:rsidRPr="009A0E07">
        <w:rPr>
          <w:szCs w:val="28"/>
        </w:rPr>
        <w:t xml:space="preserve"> ст. 291,  п</w:t>
      </w:r>
      <w:r w:rsidR="00E11EBC">
        <w:rPr>
          <w:szCs w:val="28"/>
        </w:rPr>
        <w:t>.п. 298.8.4                  п. </w:t>
      </w:r>
      <w:r w:rsidRPr="009A0E07">
        <w:rPr>
          <w:szCs w:val="28"/>
        </w:rPr>
        <w:t>298.8 ст. 298 та п.п. 4 п. 299.10 ст. 299 Кодексу.</w:t>
      </w:r>
    </w:p>
    <w:p w:rsidR="00B033DA" w:rsidRPr="009A0E07" w:rsidRDefault="00B033DA" w:rsidP="009A0E07">
      <w:pPr>
        <w:shd w:val="clear" w:color="auto" w:fill="FFFFFF"/>
        <w:spacing w:line="235" w:lineRule="auto"/>
        <w:ind w:firstLine="567"/>
        <w:rPr>
          <w:szCs w:val="28"/>
        </w:rPr>
      </w:pPr>
      <w:r>
        <w:rPr>
          <w:szCs w:val="28"/>
        </w:rPr>
        <w:t xml:space="preserve">Так, </w:t>
      </w:r>
      <w:r w:rsidRPr="00022D81">
        <w:rPr>
          <w:szCs w:val="28"/>
        </w:rPr>
        <w:t xml:space="preserve">на період з </w:t>
      </w:r>
      <w:r w:rsidRPr="009A0E07">
        <w:rPr>
          <w:b/>
          <w:szCs w:val="28"/>
        </w:rPr>
        <w:t>1 березня 2022 року</w:t>
      </w:r>
      <w:r w:rsidRPr="00022D81">
        <w:rPr>
          <w:szCs w:val="28"/>
        </w:rPr>
        <w:t xml:space="preserve"> </w:t>
      </w:r>
      <w:r w:rsidRPr="009A0E07">
        <w:rPr>
          <w:b/>
          <w:szCs w:val="28"/>
        </w:rPr>
        <w:t>до першого числа місяця, що настає після дати завершення бойових дій або тимчасової окупації на відповідній території</w:t>
      </w:r>
      <w:r w:rsidRPr="00022D81">
        <w:rPr>
          <w:szCs w:val="28"/>
        </w:rPr>
        <w:t xml:space="preserve">, для платників єдиного податку четвертої групи, у власності або користуванні, у тому числі на умовах оренди яких перебувають земельні ділянки (земельні частки (паї), що розташовані на територіях активних бойових дій або на тимчасово окупованих </w:t>
      </w:r>
      <w:r w:rsidR="00E11EBC" w:rsidRPr="00294F87">
        <w:rPr>
          <w:szCs w:val="28"/>
        </w:rPr>
        <w:t>р</w:t>
      </w:r>
      <w:r w:rsidRPr="00294F87">
        <w:rPr>
          <w:szCs w:val="28"/>
        </w:rPr>
        <w:t xml:space="preserve">осійською </w:t>
      </w:r>
      <w:r w:rsidR="00A65094" w:rsidRPr="00294F87">
        <w:rPr>
          <w:szCs w:val="28"/>
        </w:rPr>
        <w:t>ф</w:t>
      </w:r>
      <w:r w:rsidRPr="00294F87">
        <w:rPr>
          <w:szCs w:val="28"/>
        </w:rPr>
        <w:t xml:space="preserve">едерацією територіях України, обмеження щодо </w:t>
      </w:r>
      <w:r w:rsidRPr="00294F87">
        <w:rPr>
          <w:shd w:val="clear" w:color="auto" w:fill="FFFFFF"/>
        </w:rPr>
        <w:t>можливості бути платником єдиного податку четвертої групи</w:t>
      </w:r>
      <w:r w:rsidR="00E11EBC" w:rsidRPr="00294F87">
        <w:rPr>
          <w:shd w:val="clear" w:color="auto" w:fill="FFFFFF"/>
        </w:rPr>
        <w:t xml:space="preserve"> </w:t>
      </w:r>
      <w:r w:rsidRPr="00294F87">
        <w:rPr>
          <w:szCs w:val="28"/>
        </w:rPr>
        <w:t xml:space="preserve">у </w:t>
      </w:r>
      <w:r w:rsidRPr="00022D81">
        <w:rPr>
          <w:szCs w:val="28"/>
        </w:rPr>
        <w:t xml:space="preserve">разі наявності у </w:t>
      </w:r>
      <w:r w:rsidRPr="00022D81">
        <w:rPr>
          <w:color w:val="333333"/>
          <w:shd w:val="clear" w:color="auto" w:fill="FFFFFF"/>
        </w:rPr>
        <w:t xml:space="preserve">суб’єкта господарювання станом на 1 січня базового (звітного) року податкового боргу, </w:t>
      </w:r>
      <w:r>
        <w:rPr>
          <w:szCs w:val="28"/>
        </w:rPr>
        <w:t>застосовує</w:t>
      </w:r>
      <w:r w:rsidRPr="00022D81">
        <w:rPr>
          <w:szCs w:val="28"/>
        </w:rPr>
        <w:t>ться</w:t>
      </w:r>
      <w:r w:rsidRPr="008D42F1">
        <w:rPr>
          <w:b/>
          <w:szCs w:val="28"/>
        </w:rPr>
        <w:t xml:space="preserve"> виключно під час реєстрації суб’єкта господарювання платником єдиного податку</w:t>
      </w:r>
      <w:r>
        <w:rPr>
          <w:b/>
          <w:szCs w:val="28"/>
        </w:rPr>
        <w:t>, а не під час підтвердження статусу платника єдиного податку четвертої групи.</w:t>
      </w:r>
    </w:p>
    <w:p w:rsidR="00B033DA" w:rsidRPr="009A0E07" w:rsidRDefault="00B033DA" w:rsidP="009A0E07">
      <w:pPr>
        <w:ind w:firstLine="709"/>
        <w:rPr>
          <w:sz w:val="16"/>
          <w:szCs w:val="16"/>
        </w:rPr>
      </w:pPr>
    </w:p>
    <w:p w:rsidR="00B033DA" w:rsidRPr="008D42F1" w:rsidRDefault="00B033DA" w:rsidP="009A0E07">
      <w:pPr>
        <w:ind w:firstLine="709"/>
        <w:rPr>
          <w:szCs w:val="28"/>
        </w:rPr>
      </w:pPr>
      <w:r>
        <w:rPr>
          <w:szCs w:val="28"/>
        </w:rPr>
        <w:t>Крім того, Законом № 3050</w:t>
      </w:r>
      <w:r w:rsidRPr="008D42F1">
        <w:rPr>
          <w:spacing w:val="-4"/>
        </w:rPr>
        <w:t xml:space="preserve"> визначено умови, які дають право набути/підтвердити статус платника єдиного податку четвертої групи у разі, якщо частка сільськогосподарського товаровиробництва</w:t>
      </w:r>
      <w:r>
        <w:rPr>
          <w:spacing w:val="-4"/>
        </w:rPr>
        <w:t xml:space="preserve"> є меншою 75 відсотків, але </w:t>
      </w:r>
      <w:r w:rsidRPr="008D42F1">
        <w:rPr>
          <w:szCs w:val="28"/>
        </w:rPr>
        <w:t xml:space="preserve">дорівнює або перевищує </w:t>
      </w:r>
      <w:r>
        <w:rPr>
          <w:szCs w:val="28"/>
        </w:rPr>
        <w:t xml:space="preserve"> </w:t>
      </w:r>
      <w:r w:rsidRPr="008D42F1">
        <w:rPr>
          <w:szCs w:val="28"/>
        </w:rPr>
        <w:t>50 відсотків.</w:t>
      </w:r>
    </w:p>
    <w:p w:rsidR="00B033DA" w:rsidRPr="00163DDB" w:rsidRDefault="00B033DA" w:rsidP="00B836F8">
      <w:pPr>
        <w:ind w:firstLine="709"/>
        <w:rPr>
          <w:szCs w:val="28"/>
        </w:rPr>
      </w:pPr>
      <w:r w:rsidRPr="00163DDB">
        <w:rPr>
          <w:szCs w:val="28"/>
        </w:rPr>
        <w:t xml:space="preserve">Так, набути або підтвердити статус платника єдиного податку четвертої групи мають право суб’єкти господарювання, у яких </w:t>
      </w:r>
      <w:r w:rsidRPr="009A0E07">
        <w:rPr>
          <w:b/>
          <w:szCs w:val="28"/>
        </w:rPr>
        <w:t>частка сільськогосподарського товаровиробництва за попередній податковий (звітний) рік складає не менше 50 відсотків (включно)</w:t>
      </w:r>
      <w:r w:rsidRPr="00163DDB">
        <w:rPr>
          <w:szCs w:val="28"/>
        </w:rPr>
        <w:t xml:space="preserve">, за умови, якщо у таких платників не менше 30 відсотків загальної площі сільськогосподарських угідь та/або земель водного фонду у попередньому податковому (звітному) році розташовувалися </w:t>
      </w:r>
      <w:r w:rsidRPr="009A0E07">
        <w:rPr>
          <w:b/>
          <w:szCs w:val="28"/>
        </w:rPr>
        <w:t>не менше шести місяців</w:t>
      </w:r>
      <w:r w:rsidRPr="00163DDB">
        <w:rPr>
          <w:szCs w:val="28"/>
        </w:rPr>
        <w:t xml:space="preserve"> на територіях, на яких ведуться (велися) бойові дії, або на територіях, тимчасово оку</w:t>
      </w:r>
      <w:r>
        <w:rPr>
          <w:szCs w:val="28"/>
        </w:rPr>
        <w:t>пованих збройними формуваннями російської ф</w:t>
      </w:r>
      <w:r w:rsidRPr="00163DDB">
        <w:rPr>
          <w:szCs w:val="28"/>
        </w:rPr>
        <w:t xml:space="preserve">едерації. </w:t>
      </w:r>
    </w:p>
    <w:p w:rsidR="00B033DA" w:rsidRDefault="00B033DA" w:rsidP="00CF28F2">
      <w:pPr>
        <w:shd w:val="clear" w:color="auto" w:fill="FFFFFF"/>
        <w:spacing w:line="235" w:lineRule="auto"/>
        <w:ind w:firstLine="567"/>
        <w:rPr>
          <w:spacing w:val="-4"/>
          <w:szCs w:val="28"/>
          <w:lang w:eastAsia="ru-RU"/>
        </w:rPr>
      </w:pPr>
    </w:p>
    <w:sectPr w:rsidR="00B033DA" w:rsidSect="002D2AF6">
      <w:headerReference w:type="default" r:id="rId9"/>
      <w:pgSz w:w="11906" w:h="16838"/>
      <w:pgMar w:top="709"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69" w:rsidRDefault="00295869" w:rsidP="00B6286D">
      <w:r>
        <w:separator/>
      </w:r>
    </w:p>
  </w:endnote>
  <w:endnote w:type="continuationSeparator" w:id="0">
    <w:p w:rsidR="00295869" w:rsidRDefault="00295869" w:rsidP="00B6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69" w:rsidRDefault="00295869" w:rsidP="00B6286D">
      <w:r>
        <w:separator/>
      </w:r>
    </w:p>
  </w:footnote>
  <w:footnote w:type="continuationSeparator" w:id="0">
    <w:p w:rsidR="00295869" w:rsidRDefault="00295869" w:rsidP="00B62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DA" w:rsidRDefault="00B70717">
    <w:pPr>
      <w:pStyle w:val="a8"/>
      <w:jc w:val="center"/>
    </w:pPr>
    <w:r>
      <w:fldChar w:fldCharType="begin"/>
    </w:r>
    <w:r>
      <w:instrText>PAGE   \* MERGEFORMAT</w:instrText>
    </w:r>
    <w:r>
      <w:fldChar w:fldCharType="separate"/>
    </w:r>
    <w:r w:rsidR="0074190C" w:rsidRPr="0074190C">
      <w:rPr>
        <w:noProof/>
        <w:lang w:val="ru-RU"/>
      </w:rPr>
      <w:t>2</w:t>
    </w:r>
    <w:r>
      <w:rPr>
        <w:noProof/>
        <w:lang w:val="ru-RU"/>
      </w:rPr>
      <w:fldChar w:fldCharType="end"/>
    </w:r>
  </w:p>
  <w:p w:rsidR="00B033DA" w:rsidRDefault="00B033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2659"/>
    <w:multiLevelType w:val="hybridMultilevel"/>
    <w:tmpl w:val="A98AB16C"/>
    <w:lvl w:ilvl="0" w:tplc="56BC0426">
      <w:start w:val="1"/>
      <w:numFmt w:val="bullet"/>
      <w:lvlText w:val="–"/>
      <w:lvlJc w:val="left"/>
      <w:pPr>
        <w:ind w:left="633" w:hanging="360"/>
      </w:pPr>
      <w:rPr>
        <w:rFonts w:ascii="Times New Roman" w:eastAsia="Times New Roman" w:hAnsi="Times New Roman" w:hint="default"/>
      </w:rPr>
    </w:lvl>
    <w:lvl w:ilvl="1" w:tplc="04220003" w:tentative="1">
      <w:start w:val="1"/>
      <w:numFmt w:val="bullet"/>
      <w:lvlText w:val="o"/>
      <w:lvlJc w:val="left"/>
      <w:pPr>
        <w:ind w:left="1353" w:hanging="360"/>
      </w:pPr>
      <w:rPr>
        <w:rFonts w:ascii="Courier New" w:hAnsi="Courier New" w:hint="default"/>
      </w:rPr>
    </w:lvl>
    <w:lvl w:ilvl="2" w:tplc="04220005" w:tentative="1">
      <w:start w:val="1"/>
      <w:numFmt w:val="bullet"/>
      <w:lvlText w:val=""/>
      <w:lvlJc w:val="left"/>
      <w:pPr>
        <w:ind w:left="2073" w:hanging="360"/>
      </w:pPr>
      <w:rPr>
        <w:rFonts w:ascii="Wingdings" w:hAnsi="Wingdings" w:hint="default"/>
      </w:rPr>
    </w:lvl>
    <w:lvl w:ilvl="3" w:tplc="04220001" w:tentative="1">
      <w:start w:val="1"/>
      <w:numFmt w:val="bullet"/>
      <w:lvlText w:val=""/>
      <w:lvlJc w:val="left"/>
      <w:pPr>
        <w:ind w:left="2793" w:hanging="360"/>
      </w:pPr>
      <w:rPr>
        <w:rFonts w:ascii="Symbol" w:hAnsi="Symbol" w:hint="default"/>
      </w:rPr>
    </w:lvl>
    <w:lvl w:ilvl="4" w:tplc="04220003" w:tentative="1">
      <w:start w:val="1"/>
      <w:numFmt w:val="bullet"/>
      <w:lvlText w:val="o"/>
      <w:lvlJc w:val="left"/>
      <w:pPr>
        <w:ind w:left="3513" w:hanging="360"/>
      </w:pPr>
      <w:rPr>
        <w:rFonts w:ascii="Courier New" w:hAnsi="Courier New" w:hint="default"/>
      </w:rPr>
    </w:lvl>
    <w:lvl w:ilvl="5" w:tplc="04220005" w:tentative="1">
      <w:start w:val="1"/>
      <w:numFmt w:val="bullet"/>
      <w:lvlText w:val=""/>
      <w:lvlJc w:val="left"/>
      <w:pPr>
        <w:ind w:left="4233" w:hanging="360"/>
      </w:pPr>
      <w:rPr>
        <w:rFonts w:ascii="Wingdings" w:hAnsi="Wingdings" w:hint="default"/>
      </w:rPr>
    </w:lvl>
    <w:lvl w:ilvl="6" w:tplc="04220001" w:tentative="1">
      <w:start w:val="1"/>
      <w:numFmt w:val="bullet"/>
      <w:lvlText w:val=""/>
      <w:lvlJc w:val="left"/>
      <w:pPr>
        <w:ind w:left="4953" w:hanging="360"/>
      </w:pPr>
      <w:rPr>
        <w:rFonts w:ascii="Symbol" w:hAnsi="Symbol" w:hint="default"/>
      </w:rPr>
    </w:lvl>
    <w:lvl w:ilvl="7" w:tplc="04220003" w:tentative="1">
      <w:start w:val="1"/>
      <w:numFmt w:val="bullet"/>
      <w:lvlText w:val="o"/>
      <w:lvlJc w:val="left"/>
      <w:pPr>
        <w:ind w:left="5673" w:hanging="360"/>
      </w:pPr>
      <w:rPr>
        <w:rFonts w:ascii="Courier New" w:hAnsi="Courier New" w:hint="default"/>
      </w:rPr>
    </w:lvl>
    <w:lvl w:ilvl="8" w:tplc="04220005" w:tentative="1">
      <w:start w:val="1"/>
      <w:numFmt w:val="bullet"/>
      <w:lvlText w:val=""/>
      <w:lvlJc w:val="left"/>
      <w:pPr>
        <w:ind w:left="6393" w:hanging="360"/>
      </w:pPr>
      <w:rPr>
        <w:rFonts w:ascii="Wingdings" w:hAnsi="Wingdings" w:hint="default"/>
      </w:rPr>
    </w:lvl>
  </w:abstractNum>
  <w:abstractNum w:abstractNumId="1">
    <w:nsid w:val="5FEC379C"/>
    <w:multiLevelType w:val="hybridMultilevel"/>
    <w:tmpl w:val="3E2CB156"/>
    <w:lvl w:ilvl="0" w:tplc="D898F464">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B8"/>
    <w:rsid w:val="00012D64"/>
    <w:rsid w:val="00022D81"/>
    <w:rsid w:val="000245E5"/>
    <w:rsid w:val="00075091"/>
    <w:rsid w:val="0007741B"/>
    <w:rsid w:val="0009026E"/>
    <w:rsid w:val="000946EF"/>
    <w:rsid w:val="0009641D"/>
    <w:rsid w:val="000A09F7"/>
    <w:rsid w:val="00114077"/>
    <w:rsid w:val="00114664"/>
    <w:rsid w:val="00125873"/>
    <w:rsid w:val="00125F3D"/>
    <w:rsid w:val="00127038"/>
    <w:rsid w:val="0012785B"/>
    <w:rsid w:val="00141B0C"/>
    <w:rsid w:val="00143FFF"/>
    <w:rsid w:val="00163DDB"/>
    <w:rsid w:val="0016574E"/>
    <w:rsid w:val="00185B5E"/>
    <w:rsid w:val="001A2095"/>
    <w:rsid w:val="001A5198"/>
    <w:rsid w:val="001B2B21"/>
    <w:rsid w:val="001C2B0C"/>
    <w:rsid w:val="001E3CA6"/>
    <w:rsid w:val="001F334E"/>
    <w:rsid w:val="00201D37"/>
    <w:rsid w:val="002164C6"/>
    <w:rsid w:val="00227D0A"/>
    <w:rsid w:val="002451FA"/>
    <w:rsid w:val="002553E0"/>
    <w:rsid w:val="00265AB2"/>
    <w:rsid w:val="00294F87"/>
    <w:rsid w:val="0029507B"/>
    <w:rsid w:val="00295869"/>
    <w:rsid w:val="002A1A9C"/>
    <w:rsid w:val="002A2ACA"/>
    <w:rsid w:val="002B338D"/>
    <w:rsid w:val="002C1321"/>
    <w:rsid w:val="002D048C"/>
    <w:rsid w:val="002D2A73"/>
    <w:rsid w:val="002D2AF6"/>
    <w:rsid w:val="002E51EC"/>
    <w:rsid w:val="002F3332"/>
    <w:rsid w:val="002F7067"/>
    <w:rsid w:val="00301758"/>
    <w:rsid w:val="0031017E"/>
    <w:rsid w:val="00314F03"/>
    <w:rsid w:val="00322B70"/>
    <w:rsid w:val="00334C32"/>
    <w:rsid w:val="00336B2B"/>
    <w:rsid w:val="00352B54"/>
    <w:rsid w:val="00355BCC"/>
    <w:rsid w:val="00384084"/>
    <w:rsid w:val="00387103"/>
    <w:rsid w:val="00395906"/>
    <w:rsid w:val="003A4634"/>
    <w:rsid w:val="003A4D24"/>
    <w:rsid w:val="003B02F1"/>
    <w:rsid w:val="003D7079"/>
    <w:rsid w:val="003E03A8"/>
    <w:rsid w:val="003E273B"/>
    <w:rsid w:val="003E7F69"/>
    <w:rsid w:val="003F3C7B"/>
    <w:rsid w:val="003F7886"/>
    <w:rsid w:val="0041371C"/>
    <w:rsid w:val="00427892"/>
    <w:rsid w:val="004745FC"/>
    <w:rsid w:val="00484F42"/>
    <w:rsid w:val="004874B6"/>
    <w:rsid w:val="00491DB6"/>
    <w:rsid w:val="004A0DAD"/>
    <w:rsid w:val="004C0EF5"/>
    <w:rsid w:val="004D48BC"/>
    <w:rsid w:val="004E6E54"/>
    <w:rsid w:val="004E71FD"/>
    <w:rsid w:val="00500602"/>
    <w:rsid w:val="00510A1C"/>
    <w:rsid w:val="00510B70"/>
    <w:rsid w:val="00514D5A"/>
    <w:rsid w:val="00532727"/>
    <w:rsid w:val="00532C2E"/>
    <w:rsid w:val="00540E48"/>
    <w:rsid w:val="005439CF"/>
    <w:rsid w:val="005552AC"/>
    <w:rsid w:val="00567DC4"/>
    <w:rsid w:val="00572760"/>
    <w:rsid w:val="0057482F"/>
    <w:rsid w:val="00582ECE"/>
    <w:rsid w:val="0059187D"/>
    <w:rsid w:val="005B7E35"/>
    <w:rsid w:val="005C30B0"/>
    <w:rsid w:val="005D06C6"/>
    <w:rsid w:val="005F3093"/>
    <w:rsid w:val="005F42F5"/>
    <w:rsid w:val="00603581"/>
    <w:rsid w:val="00610A21"/>
    <w:rsid w:val="00612527"/>
    <w:rsid w:val="006267B0"/>
    <w:rsid w:val="00642DF8"/>
    <w:rsid w:val="00646E07"/>
    <w:rsid w:val="00650EDF"/>
    <w:rsid w:val="00654C8B"/>
    <w:rsid w:val="006720F5"/>
    <w:rsid w:val="00681092"/>
    <w:rsid w:val="00693580"/>
    <w:rsid w:val="00696D3C"/>
    <w:rsid w:val="006B6544"/>
    <w:rsid w:val="006B6660"/>
    <w:rsid w:val="006D3B23"/>
    <w:rsid w:val="006E0211"/>
    <w:rsid w:val="006E03C8"/>
    <w:rsid w:val="006E32E5"/>
    <w:rsid w:val="006F38E9"/>
    <w:rsid w:val="006F495F"/>
    <w:rsid w:val="00714990"/>
    <w:rsid w:val="0074190C"/>
    <w:rsid w:val="00757244"/>
    <w:rsid w:val="007603CD"/>
    <w:rsid w:val="00762A85"/>
    <w:rsid w:val="00777480"/>
    <w:rsid w:val="00790C2A"/>
    <w:rsid w:val="00791977"/>
    <w:rsid w:val="00791ABB"/>
    <w:rsid w:val="00795A8C"/>
    <w:rsid w:val="007A58F9"/>
    <w:rsid w:val="007B0DDA"/>
    <w:rsid w:val="007B6336"/>
    <w:rsid w:val="007B6EEE"/>
    <w:rsid w:val="007C1EF9"/>
    <w:rsid w:val="007C38EF"/>
    <w:rsid w:val="007D0A0E"/>
    <w:rsid w:val="007E24E0"/>
    <w:rsid w:val="008076B5"/>
    <w:rsid w:val="00813316"/>
    <w:rsid w:val="008144B8"/>
    <w:rsid w:val="00823EBE"/>
    <w:rsid w:val="00825B4F"/>
    <w:rsid w:val="008556F6"/>
    <w:rsid w:val="00855ABC"/>
    <w:rsid w:val="008571AF"/>
    <w:rsid w:val="00861CFC"/>
    <w:rsid w:val="008625CC"/>
    <w:rsid w:val="00865BF6"/>
    <w:rsid w:val="00891167"/>
    <w:rsid w:val="0089191B"/>
    <w:rsid w:val="008C1EF5"/>
    <w:rsid w:val="008D42F1"/>
    <w:rsid w:val="008E3CE2"/>
    <w:rsid w:val="008E70D9"/>
    <w:rsid w:val="008F303E"/>
    <w:rsid w:val="00915AAE"/>
    <w:rsid w:val="00920EB4"/>
    <w:rsid w:val="00940435"/>
    <w:rsid w:val="00945D55"/>
    <w:rsid w:val="00954E8E"/>
    <w:rsid w:val="00971480"/>
    <w:rsid w:val="009A0E07"/>
    <w:rsid w:val="009F1E3E"/>
    <w:rsid w:val="00A02965"/>
    <w:rsid w:val="00A03072"/>
    <w:rsid w:val="00A06042"/>
    <w:rsid w:val="00A12B85"/>
    <w:rsid w:val="00A24F98"/>
    <w:rsid w:val="00A262B0"/>
    <w:rsid w:val="00A36365"/>
    <w:rsid w:val="00A4253A"/>
    <w:rsid w:val="00A4485E"/>
    <w:rsid w:val="00A65094"/>
    <w:rsid w:val="00A71E6C"/>
    <w:rsid w:val="00A76231"/>
    <w:rsid w:val="00A85A65"/>
    <w:rsid w:val="00A916EC"/>
    <w:rsid w:val="00A96360"/>
    <w:rsid w:val="00AA57D1"/>
    <w:rsid w:val="00AB5213"/>
    <w:rsid w:val="00AE4CA3"/>
    <w:rsid w:val="00B033DA"/>
    <w:rsid w:val="00B5131C"/>
    <w:rsid w:val="00B57E99"/>
    <w:rsid w:val="00B6286D"/>
    <w:rsid w:val="00B651A0"/>
    <w:rsid w:val="00B70717"/>
    <w:rsid w:val="00B73468"/>
    <w:rsid w:val="00B836F8"/>
    <w:rsid w:val="00B865EF"/>
    <w:rsid w:val="00BB72B1"/>
    <w:rsid w:val="00BE067D"/>
    <w:rsid w:val="00C00DCD"/>
    <w:rsid w:val="00C32770"/>
    <w:rsid w:val="00C52486"/>
    <w:rsid w:val="00C71F89"/>
    <w:rsid w:val="00C86832"/>
    <w:rsid w:val="00C87AEF"/>
    <w:rsid w:val="00CB2579"/>
    <w:rsid w:val="00CB58F9"/>
    <w:rsid w:val="00CB5DC0"/>
    <w:rsid w:val="00CC7D2D"/>
    <w:rsid w:val="00CE7D90"/>
    <w:rsid w:val="00CF28F2"/>
    <w:rsid w:val="00D04257"/>
    <w:rsid w:val="00D16FAE"/>
    <w:rsid w:val="00D33EF5"/>
    <w:rsid w:val="00D401B6"/>
    <w:rsid w:val="00D43843"/>
    <w:rsid w:val="00D4703C"/>
    <w:rsid w:val="00D626BC"/>
    <w:rsid w:val="00D6310F"/>
    <w:rsid w:val="00DA09C4"/>
    <w:rsid w:val="00DA5A03"/>
    <w:rsid w:val="00DC2376"/>
    <w:rsid w:val="00DC36C3"/>
    <w:rsid w:val="00DC4FEB"/>
    <w:rsid w:val="00DC580D"/>
    <w:rsid w:val="00DC6EAC"/>
    <w:rsid w:val="00DE4AF3"/>
    <w:rsid w:val="00DE5CC0"/>
    <w:rsid w:val="00DE6C36"/>
    <w:rsid w:val="00DF0FE4"/>
    <w:rsid w:val="00DF1D21"/>
    <w:rsid w:val="00DF5A9F"/>
    <w:rsid w:val="00E01B99"/>
    <w:rsid w:val="00E06A96"/>
    <w:rsid w:val="00E10D22"/>
    <w:rsid w:val="00E11EBC"/>
    <w:rsid w:val="00E43BF0"/>
    <w:rsid w:val="00E66BC6"/>
    <w:rsid w:val="00E74AC2"/>
    <w:rsid w:val="00E862D7"/>
    <w:rsid w:val="00E8756C"/>
    <w:rsid w:val="00E901B2"/>
    <w:rsid w:val="00E953D0"/>
    <w:rsid w:val="00E95596"/>
    <w:rsid w:val="00EA4F19"/>
    <w:rsid w:val="00EB5C6C"/>
    <w:rsid w:val="00ED5BE9"/>
    <w:rsid w:val="00EE36C7"/>
    <w:rsid w:val="00F049F0"/>
    <w:rsid w:val="00F060EC"/>
    <w:rsid w:val="00F2115B"/>
    <w:rsid w:val="00F24278"/>
    <w:rsid w:val="00F3121A"/>
    <w:rsid w:val="00F32C53"/>
    <w:rsid w:val="00F52489"/>
    <w:rsid w:val="00F525E2"/>
    <w:rsid w:val="00FD1265"/>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F0"/>
    <w:pPr>
      <w:jc w:val="both"/>
    </w:pPr>
    <w:rPr>
      <w:rFonts w:ascii="Times New Roman" w:hAnsi="Times New Roman"/>
      <w:sz w:val="28"/>
      <w:lang w:val="uk-UA" w:eastAsia="en-US"/>
    </w:rPr>
  </w:style>
  <w:style w:type="paragraph" w:styleId="2">
    <w:name w:val="heading 2"/>
    <w:basedOn w:val="a"/>
    <w:next w:val="a"/>
    <w:link w:val="20"/>
    <w:uiPriority w:val="99"/>
    <w:qFormat/>
    <w:rsid w:val="00E43BF0"/>
    <w:pPr>
      <w:keepNext/>
      <w:keepLines/>
      <w:spacing w:before="200"/>
      <w:outlineLvl w:val="1"/>
    </w:pPr>
    <w:rPr>
      <w:rFonts w:ascii="Cambria" w:eastAsia="Times New Roman" w:hAnsi="Cambria"/>
      <w:b/>
      <w:bCs/>
      <w:color w:val="DDDDDD"/>
      <w:sz w:val="26"/>
      <w:szCs w:val="26"/>
    </w:rPr>
  </w:style>
  <w:style w:type="paragraph" w:styleId="3">
    <w:name w:val="heading 3"/>
    <w:basedOn w:val="a"/>
    <w:link w:val="30"/>
    <w:uiPriority w:val="99"/>
    <w:qFormat/>
    <w:rsid w:val="00E43BF0"/>
    <w:pPr>
      <w:spacing w:before="100" w:beforeAutospacing="1" w:after="100" w:afterAutospacing="1"/>
      <w:jc w:val="left"/>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43BF0"/>
    <w:rPr>
      <w:rFonts w:ascii="Cambria" w:hAnsi="Cambria" w:cs="Times New Roman"/>
      <w:b/>
      <w:bCs/>
      <w:color w:val="DDDDDD"/>
      <w:sz w:val="26"/>
      <w:szCs w:val="26"/>
    </w:rPr>
  </w:style>
  <w:style w:type="character" w:customStyle="1" w:styleId="30">
    <w:name w:val="Заголовок 3 Знак"/>
    <w:basedOn w:val="a0"/>
    <w:link w:val="3"/>
    <w:uiPriority w:val="99"/>
    <w:locked/>
    <w:rsid w:val="00E43BF0"/>
    <w:rPr>
      <w:rFonts w:ascii="Times New Roman" w:hAnsi="Times New Roman" w:cs="Times New Roman"/>
      <w:b/>
      <w:bCs/>
      <w:sz w:val="27"/>
      <w:szCs w:val="27"/>
      <w:lang w:val="ru-RU" w:eastAsia="ru-RU"/>
    </w:rPr>
  </w:style>
  <w:style w:type="character" w:styleId="a3">
    <w:name w:val="Strong"/>
    <w:basedOn w:val="a0"/>
    <w:uiPriority w:val="99"/>
    <w:qFormat/>
    <w:rsid w:val="00E43BF0"/>
    <w:rPr>
      <w:rFonts w:cs="Times New Roman"/>
      <w:b/>
      <w:bCs/>
    </w:rPr>
  </w:style>
  <w:style w:type="paragraph" w:styleId="a4">
    <w:name w:val="List Paragraph"/>
    <w:basedOn w:val="a"/>
    <w:uiPriority w:val="99"/>
    <w:qFormat/>
    <w:rsid w:val="00E43BF0"/>
    <w:pPr>
      <w:ind w:left="720"/>
      <w:contextualSpacing/>
    </w:pPr>
  </w:style>
  <w:style w:type="table" w:styleId="a5">
    <w:name w:val="Table Grid"/>
    <w:basedOn w:val="a1"/>
    <w:uiPriority w:val="99"/>
    <w:rsid w:val="00791A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791ABB"/>
    <w:rPr>
      <w:rFonts w:ascii="Tahoma" w:hAnsi="Tahoma" w:cs="Tahoma"/>
      <w:sz w:val="16"/>
      <w:szCs w:val="16"/>
    </w:rPr>
  </w:style>
  <w:style w:type="character" w:customStyle="1" w:styleId="a7">
    <w:name w:val="Текст выноски Знак"/>
    <w:basedOn w:val="a0"/>
    <w:link w:val="a6"/>
    <w:uiPriority w:val="99"/>
    <w:semiHidden/>
    <w:locked/>
    <w:rsid w:val="00791ABB"/>
    <w:rPr>
      <w:rFonts w:ascii="Tahoma" w:hAnsi="Tahoma" w:cs="Tahoma"/>
      <w:sz w:val="16"/>
      <w:szCs w:val="16"/>
    </w:rPr>
  </w:style>
  <w:style w:type="paragraph" w:customStyle="1" w:styleId="21">
    <w:name w:val="Знак Знак Знак2"/>
    <w:basedOn w:val="a"/>
    <w:uiPriority w:val="99"/>
    <w:rsid w:val="00D4703C"/>
    <w:pPr>
      <w:jc w:val="left"/>
    </w:pPr>
    <w:rPr>
      <w:rFonts w:ascii="Verdana" w:eastAsia="Times New Roman" w:hAnsi="Verdana" w:cs="Verdana"/>
      <w:sz w:val="20"/>
      <w:szCs w:val="20"/>
      <w:lang w:val="en-US"/>
    </w:rPr>
  </w:style>
  <w:style w:type="paragraph" w:styleId="a8">
    <w:name w:val="header"/>
    <w:basedOn w:val="a"/>
    <w:link w:val="a9"/>
    <w:uiPriority w:val="99"/>
    <w:rsid w:val="00B6286D"/>
    <w:pPr>
      <w:tabs>
        <w:tab w:val="center" w:pos="4819"/>
        <w:tab w:val="right" w:pos="9639"/>
      </w:tabs>
    </w:pPr>
  </w:style>
  <w:style w:type="character" w:customStyle="1" w:styleId="a9">
    <w:name w:val="Верхний колонтитул Знак"/>
    <w:basedOn w:val="a0"/>
    <w:link w:val="a8"/>
    <w:uiPriority w:val="99"/>
    <w:locked/>
    <w:rsid w:val="00B6286D"/>
    <w:rPr>
      <w:rFonts w:ascii="Times New Roman" w:hAnsi="Times New Roman" w:cs="Times New Roman"/>
      <w:sz w:val="28"/>
    </w:rPr>
  </w:style>
  <w:style w:type="paragraph" w:styleId="aa">
    <w:name w:val="footer"/>
    <w:basedOn w:val="a"/>
    <w:link w:val="ab"/>
    <w:uiPriority w:val="99"/>
    <w:rsid w:val="00B6286D"/>
    <w:pPr>
      <w:tabs>
        <w:tab w:val="center" w:pos="4819"/>
        <w:tab w:val="right" w:pos="9639"/>
      </w:tabs>
    </w:pPr>
  </w:style>
  <w:style w:type="character" w:customStyle="1" w:styleId="ab">
    <w:name w:val="Нижний колонтитул Знак"/>
    <w:basedOn w:val="a0"/>
    <w:link w:val="aa"/>
    <w:uiPriority w:val="99"/>
    <w:locked/>
    <w:rsid w:val="00B6286D"/>
    <w:rPr>
      <w:rFonts w:ascii="Times New Roman" w:hAnsi="Times New Roman" w:cs="Times New Roman"/>
      <w:sz w:val="28"/>
    </w:rPr>
  </w:style>
  <w:style w:type="paragraph" w:styleId="ac">
    <w:name w:val="Normal (Web)"/>
    <w:basedOn w:val="a"/>
    <w:uiPriority w:val="99"/>
    <w:rsid w:val="0031017E"/>
    <w:pPr>
      <w:spacing w:before="100" w:beforeAutospacing="1" w:after="100" w:afterAutospacing="1"/>
      <w:jc w:val="left"/>
    </w:pPr>
    <w:rPr>
      <w:rFonts w:eastAsia="Times New Roman"/>
      <w:sz w:val="24"/>
      <w:szCs w:val="24"/>
      <w:lang w:eastAsia="uk-UA"/>
    </w:rPr>
  </w:style>
  <w:style w:type="paragraph" w:styleId="ad">
    <w:name w:val="No Spacing"/>
    <w:uiPriority w:val="99"/>
    <w:qFormat/>
    <w:rsid w:val="00114077"/>
    <w:rPr>
      <w:lang w:eastAsia="en-US"/>
    </w:rPr>
  </w:style>
  <w:style w:type="paragraph" w:customStyle="1" w:styleId="CharCharCharChar1">
    <w:name w:val="Char Знак Знак Char Знак Знак Char Знак Знак Char Знак Знак Знак Знак Знак1 Знак Знак Знак Знак Знак Знак Знак"/>
    <w:basedOn w:val="a"/>
    <w:uiPriority w:val="99"/>
    <w:rsid w:val="007603CD"/>
    <w:pPr>
      <w:jc w:val="left"/>
    </w:pPr>
    <w:rPr>
      <w:rFonts w:ascii="Verdana" w:eastAsia="Times New Roman" w:hAnsi="Verdana" w:cs="Verdana"/>
      <w:sz w:val="20"/>
      <w:szCs w:val="20"/>
      <w:lang w:val="en-US"/>
    </w:rPr>
  </w:style>
  <w:style w:type="table" w:customStyle="1" w:styleId="1">
    <w:name w:val="Сетка таблицы1"/>
    <w:uiPriority w:val="99"/>
    <w:rsid w:val="00A916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EA4F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8C1E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F0"/>
    <w:pPr>
      <w:jc w:val="both"/>
    </w:pPr>
    <w:rPr>
      <w:rFonts w:ascii="Times New Roman" w:hAnsi="Times New Roman"/>
      <w:sz w:val="28"/>
      <w:lang w:val="uk-UA" w:eastAsia="en-US"/>
    </w:rPr>
  </w:style>
  <w:style w:type="paragraph" w:styleId="2">
    <w:name w:val="heading 2"/>
    <w:basedOn w:val="a"/>
    <w:next w:val="a"/>
    <w:link w:val="20"/>
    <w:uiPriority w:val="99"/>
    <w:qFormat/>
    <w:rsid w:val="00E43BF0"/>
    <w:pPr>
      <w:keepNext/>
      <w:keepLines/>
      <w:spacing w:before="200"/>
      <w:outlineLvl w:val="1"/>
    </w:pPr>
    <w:rPr>
      <w:rFonts w:ascii="Cambria" w:eastAsia="Times New Roman" w:hAnsi="Cambria"/>
      <w:b/>
      <w:bCs/>
      <w:color w:val="DDDDDD"/>
      <w:sz w:val="26"/>
      <w:szCs w:val="26"/>
    </w:rPr>
  </w:style>
  <w:style w:type="paragraph" w:styleId="3">
    <w:name w:val="heading 3"/>
    <w:basedOn w:val="a"/>
    <w:link w:val="30"/>
    <w:uiPriority w:val="99"/>
    <w:qFormat/>
    <w:rsid w:val="00E43BF0"/>
    <w:pPr>
      <w:spacing w:before="100" w:beforeAutospacing="1" w:after="100" w:afterAutospacing="1"/>
      <w:jc w:val="left"/>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43BF0"/>
    <w:rPr>
      <w:rFonts w:ascii="Cambria" w:hAnsi="Cambria" w:cs="Times New Roman"/>
      <w:b/>
      <w:bCs/>
      <w:color w:val="DDDDDD"/>
      <w:sz w:val="26"/>
      <w:szCs w:val="26"/>
    </w:rPr>
  </w:style>
  <w:style w:type="character" w:customStyle="1" w:styleId="30">
    <w:name w:val="Заголовок 3 Знак"/>
    <w:basedOn w:val="a0"/>
    <w:link w:val="3"/>
    <w:uiPriority w:val="99"/>
    <w:locked/>
    <w:rsid w:val="00E43BF0"/>
    <w:rPr>
      <w:rFonts w:ascii="Times New Roman" w:hAnsi="Times New Roman" w:cs="Times New Roman"/>
      <w:b/>
      <w:bCs/>
      <w:sz w:val="27"/>
      <w:szCs w:val="27"/>
      <w:lang w:val="ru-RU" w:eastAsia="ru-RU"/>
    </w:rPr>
  </w:style>
  <w:style w:type="character" w:styleId="a3">
    <w:name w:val="Strong"/>
    <w:basedOn w:val="a0"/>
    <w:uiPriority w:val="99"/>
    <w:qFormat/>
    <w:rsid w:val="00E43BF0"/>
    <w:rPr>
      <w:rFonts w:cs="Times New Roman"/>
      <w:b/>
      <w:bCs/>
    </w:rPr>
  </w:style>
  <w:style w:type="paragraph" w:styleId="a4">
    <w:name w:val="List Paragraph"/>
    <w:basedOn w:val="a"/>
    <w:uiPriority w:val="99"/>
    <w:qFormat/>
    <w:rsid w:val="00E43BF0"/>
    <w:pPr>
      <w:ind w:left="720"/>
      <w:contextualSpacing/>
    </w:pPr>
  </w:style>
  <w:style w:type="table" w:styleId="a5">
    <w:name w:val="Table Grid"/>
    <w:basedOn w:val="a1"/>
    <w:uiPriority w:val="99"/>
    <w:rsid w:val="00791A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791ABB"/>
    <w:rPr>
      <w:rFonts w:ascii="Tahoma" w:hAnsi="Tahoma" w:cs="Tahoma"/>
      <w:sz w:val="16"/>
      <w:szCs w:val="16"/>
    </w:rPr>
  </w:style>
  <w:style w:type="character" w:customStyle="1" w:styleId="a7">
    <w:name w:val="Текст выноски Знак"/>
    <w:basedOn w:val="a0"/>
    <w:link w:val="a6"/>
    <w:uiPriority w:val="99"/>
    <w:semiHidden/>
    <w:locked/>
    <w:rsid w:val="00791ABB"/>
    <w:rPr>
      <w:rFonts w:ascii="Tahoma" w:hAnsi="Tahoma" w:cs="Tahoma"/>
      <w:sz w:val="16"/>
      <w:szCs w:val="16"/>
    </w:rPr>
  </w:style>
  <w:style w:type="paragraph" w:customStyle="1" w:styleId="21">
    <w:name w:val="Знак Знак Знак2"/>
    <w:basedOn w:val="a"/>
    <w:uiPriority w:val="99"/>
    <w:rsid w:val="00D4703C"/>
    <w:pPr>
      <w:jc w:val="left"/>
    </w:pPr>
    <w:rPr>
      <w:rFonts w:ascii="Verdana" w:eastAsia="Times New Roman" w:hAnsi="Verdana" w:cs="Verdana"/>
      <w:sz w:val="20"/>
      <w:szCs w:val="20"/>
      <w:lang w:val="en-US"/>
    </w:rPr>
  </w:style>
  <w:style w:type="paragraph" w:styleId="a8">
    <w:name w:val="header"/>
    <w:basedOn w:val="a"/>
    <w:link w:val="a9"/>
    <w:uiPriority w:val="99"/>
    <w:rsid w:val="00B6286D"/>
    <w:pPr>
      <w:tabs>
        <w:tab w:val="center" w:pos="4819"/>
        <w:tab w:val="right" w:pos="9639"/>
      </w:tabs>
    </w:pPr>
  </w:style>
  <w:style w:type="character" w:customStyle="1" w:styleId="a9">
    <w:name w:val="Верхний колонтитул Знак"/>
    <w:basedOn w:val="a0"/>
    <w:link w:val="a8"/>
    <w:uiPriority w:val="99"/>
    <w:locked/>
    <w:rsid w:val="00B6286D"/>
    <w:rPr>
      <w:rFonts w:ascii="Times New Roman" w:hAnsi="Times New Roman" w:cs="Times New Roman"/>
      <w:sz w:val="28"/>
    </w:rPr>
  </w:style>
  <w:style w:type="paragraph" w:styleId="aa">
    <w:name w:val="footer"/>
    <w:basedOn w:val="a"/>
    <w:link w:val="ab"/>
    <w:uiPriority w:val="99"/>
    <w:rsid w:val="00B6286D"/>
    <w:pPr>
      <w:tabs>
        <w:tab w:val="center" w:pos="4819"/>
        <w:tab w:val="right" w:pos="9639"/>
      </w:tabs>
    </w:pPr>
  </w:style>
  <w:style w:type="character" w:customStyle="1" w:styleId="ab">
    <w:name w:val="Нижний колонтитул Знак"/>
    <w:basedOn w:val="a0"/>
    <w:link w:val="aa"/>
    <w:uiPriority w:val="99"/>
    <w:locked/>
    <w:rsid w:val="00B6286D"/>
    <w:rPr>
      <w:rFonts w:ascii="Times New Roman" w:hAnsi="Times New Roman" w:cs="Times New Roman"/>
      <w:sz w:val="28"/>
    </w:rPr>
  </w:style>
  <w:style w:type="paragraph" w:styleId="ac">
    <w:name w:val="Normal (Web)"/>
    <w:basedOn w:val="a"/>
    <w:uiPriority w:val="99"/>
    <w:rsid w:val="0031017E"/>
    <w:pPr>
      <w:spacing w:before="100" w:beforeAutospacing="1" w:after="100" w:afterAutospacing="1"/>
      <w:jc w:val="left"/>
    </w:pPr>
    <w:rPr>
      <w:rFonts w:eastAsia="Times New Roman"/>
      <w:sz w:val="24"/>
      <w:szCs w:val="24"/>
      <w:lang w:eastAsia="uk-UA"/>
    </w:rPr>
  </w:style>
  <w:style w:type="paragraph" w:styleId="ad">
    <w:name w:val="No Spacing"/>
    <w:uiPriority w:val="99"/>
    <w:qFormat/>
    <w:rsid w:val="00114077"/>
    <w:rPr>
      <w:lang w:eastAsia="en-US"/>
    </w:rPr>
  </w:style>
  <w:style w:type="paragraph" w:customStyle="1" w:styleId="CharCharCharChar1">
    <w:name w:val="Char Знак Знак Char Знак Знак Char Знак Знак Char Знак Знак Знак Знак Знак1 Знак Знак Знак Знак Знак Знак Знак"/>
    <w:basedOn w:val="a"/>
    <w:uiPriority w:val="99"/>
    <w:rsid w:val="007603CD"/>
    <w:pPr>
      <w:jc w:val="left"/>
    </w:pPr>
    <w:rPr>
      <w:rFonts w:ascii="Verdana" w:eastAsia="Times New Roman" w:hAnsi="Verdana" w:cs="Verdana"/>
      <w:sz w:val="20"/>
      <w:szCs w:val="20"/>
      <w:lang w:val="en-US"/>
    </w:rPr>
  </w:style>
  <w:style w:type="table" w:customStyle="1" w:styleId="1">
    <w:name w:val="Сетка таблицы1"/>
    <w:uiPriority w:val="99"/>
    <w:rsid w:val="00A916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EA4F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8C1E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BC55-E62A-459E-8C9E-C552E278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12962</Characters>
  <Application>Microsoft Office Word</Application>
  <DocSecurity>4</DocSecurity>
  <Lines>108</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ВІКТОРІЯ ВІКТОРІВНА</dc:creator>
  <cp:lastModifiedBy>Лахно Татьяна Васильевна</cp:lastModifiedBy>
  <cp:revision>2</cp:revision>
  <cp:lastPrinted>2023-06-08T11:47:00Z</cp:lastPrinted>
  <dcterms:created xsi:type="dcterms:W3CDTF">2023-06-08T11:49:00Z</dcterms:created>
  <dcterms:modified xsi:type="dcterms:W3CDTF">2023-06-08T11:49:00Z</dcterms:modified>
</cp:coreProperties>
</file>